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5599" w14:textId="1519CE93" w:rsidR="00D41236" w:rsidRPr="0066440A" w:rsidRDefault="00B10A97" w:rsidP="009541C4">
      <w:pPr>
        <w:pStyle w:val="Heading1"/>
        <w:rPr>
          <w:sz w:val="26"/>
          <w:szCs w:val="26"/>
          <w:u w:val="single"/>
        </w:rPr>
      </w:pPr>
      <w:r w:rsidRPr="0066440A">
        <w:rPr>
          <w:sz w:val="26"/>
          <w:szCs w:val="26"/>
          <w:u w:val="single"/>
        </w:rPr>
        <w:t>Sample Letter of Medical Necessity for SYFOVRE</w:t>
      </w:r>
      <w:r w:rsidRPr="0066440A">
        <w:rPr>
          <w:sz w:val="26"/>
          <w:szCs w:val="26"/>
          <w:u w:val="single"/>
          <w:vertAlign w:val="superscript"/>
        </w:rPr>
        <w:t>®</w:t>
      </w:r>
      <w:r w:rsidRPr="0066440A">
        <w:rPr>
          <w:sz w:val="26"/>
          <w:szCs w:val="26"/>
          <w:u w:val="single"/>
        </w:rPr>
        <w:t xml:space="preserve"> (pegcetacoplan injection) 15 mg/0.1 mL</w:t>
      </w:r>
    </w:p>
    <w:p w14:paraId="7506606A" w14:textId="77777777" w:rsidR="00B10A97" w:rsidRPr="00B10A97" w:rsidRDefault="00B10A97" w:rsidP="009541C4">
      <w:pPr>
        <w:pStyle w:val="Heading1"/>
        <w:rPr>
          <w:sz w:val="24"/>
          <w:szCs w:val="24"/>
          <w:u w:val="single"/>
        </w:rPr>
      </w:pPr>
    </w:p>
    <w:p w14:paraId="1224B11E" w14:textId="77777777" w:rsidR="00D41236" w:rsidRDefault="00000000" w:rsidP="009541C4">
      <w:pPr>
        <w:pStyle w:val="Heading2"/>
        <w:ind w:right="238"/>
      </w:pPr>
      <w:r>
        <w:t>This sample letter is for informational purposes only. Use of this information does not constitute medical or legal advice</w:t>
      </w:r>
      <w:r>
        <w:rPr>
          <w:spacing w:val="-3"/>
        </w:rPr>
        <w:t xml:space="preserve"> </w:t>
      </w:r>
      <w:r>
        <w:t>and does</w:t>
      </w:r>
      <w:r>
        <w:rPr>
          <w:spacing w:val="-3"/>
        </w:rPr>
        <w:t xml:space="preserve"> </w:t>
      </w:r>
      <w:r>
        <w:t>not guarantee coverage.</w:t>
      </w:r>
      <w:r>
        <w:rPr>
          <w:spacing w:val="-3"/>
        </w:rPr>
        <w:t xml:space="preserve"> </w:t>
      </w:r>
      <w:r>
        <w:t>It</w:t>
      </w:r>
      <w:r>
        <w:rPr>
          <w:spacing w:val="-3"/>
        </w:rPr>
        <w:t xml:space="preserve"> </w:t>
      </w:r>
      <w:r>
        <w:t>is not intended to be</w:t>
      </w:r>
      <w:r>
        <w:rPr>
          <w:spacing w:val="-3"/>
        </w:rPr>
        <w:t xml:space="preserve"> </w:t>
      </w:r>
      <w:r>
        <w:t>a substitute for, or an influence on, the independent clinical decision of the prescriber. Health plan requirements may</w:t>
      </w:r>
      <w:r>
        <w:rPr>
          <w:spacing w:val="-5"/>
        </w:rPr>
        <w:t xml:space="preserve"> </w:t>
      </w:r>
      <w:r>
        <w:t>vary.</w:t>
      </w:r>
      <w:r>
        <w:rPr>
          <w:spacing w:val="-5"/>
        </w:rPr>
        <w:t xml:space="preserve"> </w:t>
      </w:r>
      <w:r>
        <w:t>Please</w:t>
      </w:r>
      <w:r>
        <w:rPr>
          <w:spacing w:val="-1"/>
        </w:rPr>
        <w:t xml:space="preserve"> </w:t>
      </w:r>
      <w:r>
        <w:t>confirm</w:t>
      </w:r>
      <w:r>
        <w:rPr>
          <w:spacing w:val="-2"/>
        </w:rPr>
        <w:t xml:space="preserve"> </w:t>
      </w:r>
      <w:r>
        <w:t>the</w:t>
      </w:r>
      <w:r>
        <w:rPr>
          <w:spacing w:val="-1"/>
        </w:rPr>
        <w:t xml:space="preserve"> </w:t>
      </w:r>
      <w:r>
        <w:t>specific</w:t>
      </w:r>
      <w:r>
        <w:rPr>
          <w:spacing w:val="-1"/>
        </w:rPr>
        <w:t xml:space="preserve"> </w:t>
      </w:r>
      <w:r>
        <w:t>information</w:t>
      </w:r>
      <w:r>
        <w:rPr>
          <w:spacing w:val="-6"/>
        </w:rPr>
        <w:t xml:space="preserve"> </w:t>
      </w:r>
      <w:r>
        <w:t>required</w:t>
      </w:r>
      <w:r>
        <w:rPr>
          <w:spacing w:val="-6"/>
        </w:rPr>
        <w:t xml:space="preserve"> </w:t>
      </w:r>
      <w:r>
        <w:t>by</w:t>
      </w:r>
      <w:r>
        <w:rPr>
          <w:spacing w:val="-5"/>
        </w:rPr>
        <w:t xml:space="preserve"> </w:t>
      </w:r>
      <w:r>
        <w:t>your</w:t>
      </w:r>
      <w:r>
        <w:rPr>
          <w:spacing w:val="-2"/>
        </w:rPr>
        <w:t xml:space="preserve"> </w:t>
      </w:r>
      <w:r>
        <w:t>patient’s</w:t>
      </w:r>
      <w:r>
        <w:rPr>
          <w:spacing w:val="-2"/>
        </w:rPr>
        <w:t xml:space="preserve"> </w:t>
      </w:r>
      <w:r>
        <w:t>health</w:t>
      </w:r>
      <w:r>
        <w:rPr>
          <w:spacing w:val="-6"/>
        </w:rPr>
        <w:t xml:space="preserve"> </w:t>
      </w:r>
      <w:r>
        <w:t>plan</w:t>
      </w:r>
      <w:r>
        <w:rPr>
          <w:spacing w:val="-2"/>
        </w:rPr>
        <w:t xml:space="preserve"> </w:t>
      </w:r>
      <w:r>
        <w:t>to</w:t>
      </w:r>
      <w:r>
        <w:rPr>
          <w:spacing w:val="-6"/>
        </w:rPr>
        <w:t xml:space="preserve"> </w:t>
      </w:r>
      <w:r>
        <w:t>ensure you are providing accurate and complete information.</w:t>
      </w:r>
    </w:p>
    <w:p w14:paraId="24AB79E8" w14:textId="77777777" w:rsidR="00D41236" w:rsidRDefault="00D41236" w:rsidP="009541C4">
      <w:pPr>
        <w:pStyle w:val="BodyText"/>
        <w:rPr>
          <w:b/>
        </w:rPr>
      </w:pPr>
    </w:p>
    <w:p w14:paraId="34113D3B" w14:textId="05AC187D" w:rsidR="00D41236" w:rsidRPr="00CC1B4D" w:rsidRDefault="00000000" w:rsidP="009541C4">
      <w:pPr>
        <w:ind w:left="220"/>
        <w:rPr>
          <w:b/>
          <w:i/>
          <w:sz w:val="20"/>
        </w:rPr>
      </w:pPr>
      <w:r>
        <w:rPr>
          <w:b/>
          <w:i/>
          <w:sz w:val="20"/>
        </w:rPr>
        <w:t>Note:</w:t>
      </w:r>
      <w:r>
        <w:rPr>
          <w:b/>
          <w:i/>
          <w:spacing w:val="-7"/>
          <w:sz w:val="20"/>
        </w:rPr>
        <w:t xml:space="preserve"> </w:t>
      </w:r>
      <w:r>
        <w:rPr>
          <w:b/>
          <w:i/>
          <w:sz w:val="20"/>
        </w:rPr>
        <w:t>When</w:t>
      </w:r>
      <w:r>
        <w:rPr>
          <w:b/>
          <w:i/>
          <w:spacing w:val="-2"/>
          <w:sz w:val="20"/>
        </w:rPr>
        <w:t xml:space="preserve"> </w:t>
      </w:r>
      <w:r>
        <w:rPr>
          <w:b/>
          <w:i/>
          <w:sz w:val="20"/>
        </w:rPr>
        <w:t>preparing</w:t>
      </w:r>
      <w:r>
        <w:rPr>
          <w:b/>
          <w:i/>
          <w:spacing w:val="-7"/>
          <w:sz w:val="20"/>
        </w:rPr>
        <w:t xml:space="preserve"> </w:t>
      </w:r>
      <w:r>
        <w:rPr>
          <w:b/>
          <w:i/>
          <w:sz w:val="20"/>
        </w:rPr>
        <w:t>the</w:t>
      </w:r>
      <w:r>
        <w:rPr>
          <w:b/>
          <w:i/>
          <w:spacing w:val="-6"/>
          <w:sz w:val="20"/>
        </w:rPr>
        <w:t xml:space="preserve"> </w:t>
      </w:r>
      <w:r>
        <w:rPr>
          <w:b/>
          <w:i/>
          <w:sz w:val="20"/>
        </w:rPr>
        <w:t>actual</w:t>
      </w:r>
      <w:r>
        <w:rPr>
          <w:b/>
          <w:i/>
          <w:spacing w:val="-6"/>
          <w:sz w:val="20"/>
        </w:rPr>
        <w:t xml:space="preserve"> </w:t>
      </w:r>
      <w:r>
        <w:rPr>
          <w:b/>
          <w:i/>
          <w:sz w:val="20"/>
        </w:rPr>
        <w:t>letter,</w:t>
      </w:r>
      <w:r>
        <w:rPr>
          <w:b/>
          <w:i/>
          <w:spacing w:val="-6"/>
          <w:sz w:val="20"/>
        </w:rPr>
        <w:t xml:space="preserve"> </w:t>
      </w:r>
      <w:r>
        <w:rPr>
          <w:b/>
          <w:i/>
          <w:sz w:val="20"/>
        </w:rPr>
        <w:t>use</w:t>
      </w:r>
      <w:r>
        <w:rPr>
          <w:b/>
          <w:i/>
          <w:spacing w:val="-3"/>
          <w:sz w:val="20"/>
        </w:rPr>
        <w:t xml:space="preserve"> </w:t>
      </w:r>
      <w:r>
        <w:rPr>
          <w:b/>
          <w:i/>
          <w:sz w:val="20"/>
        </w:rPr>
        <w:t>your</w:t>
      </w:r>
      <w:r>
        <w:rPr>
          <w:b/>
          <w:i/>
          <w:spacing w:val="-3"/>
          <w:sz w:val="20"/>
        </w:rPr>
        <w:t xml:space="preserve"> </w:t>
      </w:r>
      <w:r>
        <w:rPr>
          <w:b/>
          <w:i/>
          <w:sz w:val="20"/>
        </w:rPr>
        <w:t>professional/physician</w:t>
      </w:r>
      <w:r>
        <w:rPr>
          <w:b/>
          <w:i/>
          <w:spacing w:val="-7"/>
          <w:sz w:val="20"/>
        </w:rPr>
        <w:t xml:space="preserve"> </w:t>
      </w:r>
      <w:r>
        <w:rPr>
          <w:b/>
          <w:i/>
          <w:spacing w:val="-2"/>
          <w:sz w:val="20"/>
        </w:rPr>
        <w:t>letterhead.</w:t>
      </w:r>
    </w:p>
    <w:p w14:paraId="1466D9AD" w14:textId="77777777" w:rsidR="00D41236" w:rsidRDefault="00D41236" w:rsidP="009541C4">
      <w:pPr>
        <w:pStyle w:val="BodyText"/>
        <w:rPr>
          <w:b/>
          <w:i/>
        </w:rPr>
      </w:pPr>
    </w:p>
    <w:p w14:paraId="48B98223" w14:textId="77777777" w:rsidR="00D41236" w:rsidRDefault="00000000" w:rsidP="009541C4">
      <w:pPr>
        <w:pStyle w:val="Heading1"/>
      </w:pPr>
      <w:r>
        <w:rPr>
          <w:spacing w:val="-2"/>
        </w:rPr>
        <w:t>INDICATION</w:t>
      </w:r>
    </w:p>
    <w:p w14:paraId="2C05AD59" w14:textId="64581797" w:rsidR="00D41236" w:rsidRDefault="00D8558D" w:rsidP="009541C4">
      <w:pPr>
        <w:pStyle w:val="BodyText"/>
        <w:ind w:left="220"/>
      </w:pPr>
      <w:r w:rsidRPr="00D8558D">
        <w:t>SYFOVRE</w:t>
      </w:r>
      <w:r w:rsidR="00925E70" w:rsidRPr="00925E70">
        <w:rPr>
          <w:sz w:val="26"/>
          <w:szCs w:val="26"/>
          <w:vertAlign w:val="superscript"/>
        </w:rPr>
        <w:t>®</w:t>
      </w:r>
      <w:r w:rsidRPr="00925E70">
        <w:t xml:space="preserve"> </w:t>
      </w:r>
      <w:r w:rsidRPr="00D8558D">
        <w:t>(pegcetacoplan injection) is indicated for the treatment of geographic atrophy (GA) secondary to age-related macular degeneration (AMD).</w:t>
      </w:r>
    </w:p>
    <w:p w14:paraId="2EF82383" w14:textId="77777777" w:rsidR="00D8558D" w:rsidRDefault="00D8558D" w:rsidP="009541C4">
      <w:pPr>
        <w:pStyle w:val="BodyText"/>
        <w:ind w:left="220"/>
      </w:pPr>
    </w:p>
    <w:p w14:paraId="31AF3FFC" w14:textId="77777777" w:rsidR="00AE419C" w:rsidRDefault="00000000" w:rsidP="009541C4">
      <w:pPr>
        <w:pStyle w:val="Heading1"/>
        <w:ind w:right="4640"/>
      </w:pPr>
      <w:r>
        <w:t>IMPORTANT</w:t>
      </w:r>
      <w:r>
        <w:rPr>
          <w:spacing w:val="-14"/>
        </w:rPr>
        <w:t xml:space="preserve"> </w:t>
      </w:r>
      <w:r>
        <w:t>SAFETY</w:t>
      </w:r>
      <w:r>
        <w:rPr>
          <w:spacing w:val="-14"/>
        </w:rPr>
        <w:t xml:space="preserve"> </w:t>
      </w:r>
      <w:r>
        <w:t xml:space="preserve">INFORMATION </w:t>
      </w:r>
    </w:p>
    <w:p w14:paraId="6D2EFBF3" w14:textId="77777777" w:rsidR="00AE419C" w:rsidRDefault="00AE419C" w:rsidP="009541C4">
      <w:pPr>
        <w:pStyle w:val="Heading1"/>
        <w:ind w:left="0" w:right="4640"/>
        <w:rPr>
          <w:spacing w:val="-2"/>
        </w:rPr>
      </w:pPr>
    </w:p>
    <w:p w14:paraId="70D7F0E4" w14:textId="60E5DBD2" w:rsidR="00D41236" w:rsidRDefault="00000000" w:rsidP="009541C4">
      <w:pPr>
        <w:pStyle w:val="Heading1"/>
        <w:ind w:right="4640"/>
      </w:pPr>
      <w:r>
        <w:rPr>
          <w:spacing w:val="-2"/>
        </w:rPr>
        <w:t>CONTRAINDICATIONS</w:t>
      </w:r>
    </w:p>
    <w:p w14:paraId="35B597CE" w14:textId="77777777" w:rsidR="00D8558D" w:rsidRPr="00D8558D" w:rsidRDefault="00D8558D" w:rsidP="009541C4">
      <w:pPr>
        <w:pStyle w:val="Heading2"/>
        <w:numPr>
          <w:ilvl w:val="0"/>
          <w:numId w:val="2"/>
        </w:numPr>
        <w:tabs>
          <w:tab w:val="left" w:pos="580"/>
        </w:tabs>
        <w:ind w:left="580" w:hanging="360"/>
        <w:rPr>
          <w:b w:val="0"/>
          <w:bCs w:val="0"/>
        </w:rPr>
      </w:pPr>
      <w:r w:rsidRPr="00D8558D">
        <w:rPr>
          <w:b w:val="0"/>
          <w:bCs w:val="0"/>
        </w:rPr>
        <w:t xml:space="preserve">SYFOVRE is contraindicated in patients with ocular or periocular infections, in patients with active intraocular inflammation, and in patients with hypersensitivity to pegcetacoplan or any of the excipients in SYFOVRE. Systemic hypersensitivity reactions (e.g., anaphylaxis, rash, urticaria) have occurred. </w:t>
      </w:r>
    </w:p>
    <w:p w14:paraId="7BDC8DCC" w14:textId="77777777" w:rsidR="00AE419C" w:rsidRPr="00AE419C" w:rsidRDefault="00AE419C" w:rsidP="009541C4">
      <w:pPr>
        <w:tabs>
          <w:tab w:val="left" w:pos="580"/>
        </w:tabs>
        <w:ind w:left="219" w:right="782"/>
        <w:rPr>
          <w:sz w:val="20"/>
        </w:rPr>
      </w:pPr>
    </w:p>
    <w:p w14:paraId="10EF37D9" w14:textId="77777777" w:rsidR="00D41236" w:rsidRDefault="00000000" w:rsidP="009541C4">
      <w:pPr>
        <w:pStyle w:val="Heading1"/>
      </w:pPr>
      <w:r>
        <w:t>WARNINGS</w:t>
      </w:r>
      <w:r>
        <w:rPr>
          <w:spacing w:val="-4"/>
        </w:rPr>
        <w:t xml:space="preserve"> </w:t>
      </w:r>
      <w:r>
        <w:t>AND</w:t>
      </w:r>
      <w:r>
        <w:rPr>
          <w:spacing w:val="-4"/>
        </w:rPr>
        <w:t xml:space="preserve"> </w:t>
      </w:r>
      <w:r>
        <w:rPr>
          <w:spacing w:val="-2"/>
        </w:rPr>
        <w:t>PRECAUTIONS</w:t>
      </w:r>
    </w:p>
    <w:p w14:paraId="443E47C3" w14:textId="77777777" w:rsidR="00D41236" w:rsidRDefault="00000000" w:rsidP="009541C4">
      <w:pPr>
        <w:pStyle w:val="Heading2"/>
        <w:numPr>
          <w:ilvl w:val="0"/>
          <w:numId w:val="2"/>
        </w:numPr>
        <w:tabs>
          <w:tab w:val="left" w:pos="580"/>
        </w:tabs>
        <w:ind w:left="580" w:hanging="360"/>
      </w:pPr>
      <w:r>
        <w:t>Endophthalmitis</w:t>
      </w:r>
      <w:r>
        <w:rPr>
          <w:spacing w:val="-7"/>
        </w:rPr>
        <w:t xml:space="preserve"> </w:t>
      </w:r>
      <w:r>
        <w:t>and</w:t>
      </w:r>
      <w:r>
        <w:rPr>
          <w:spacing w:val="-10"/>
        </w:rPr>
        <w:t xml:space="preserve"> </w:t>
      </w:r>
      <w:r>
        <w:t>Retinal</w:t>
      </w:r>
      <w:r>
        <w:rPr>
          <w:spacing w:val="-10"/>
        </w:rPr>
        <w:t xml:space="preserve"> </w:t>
      </w:r>
      <w:r>
        <w:rPr>
          <w:spacing w:val="-2"/>
        </w:rPr>
        <w:t>Detachments</w:t>
      </w:r>
    </w:p>
    <w:p w14:paraId="2A2B1330" w14:textId="77777777" w:rsidR="0024580F" w:rsidRPr="0024580F" w:rsidRDefault="0024580F" w:rsidP="009541C4">
      <w:pPr>
        <w:pStyle w:val="ListParagraph"/>
        <w:numPr>
          <w:ilvl w:val="1"/>
          <w:numId w:val="2"/>
        </w:numPr>
        <w:tabs>
          <w:tab w:val="left" w:pos="1301"/>
        </w:tabs>
        <w:spacing w:before="0"/>
        <w:ind w:right="360"/>
        <w:rPr>
          <w:sz w:val="20"/>
          <w:szCs w:val="20"/>
        </w:rPr>
      </w:pPr>
      <w:r w:rsidRPr="0024580F">
        <w:rPr>
          <w:sz w:val="20"/>
          <w:szCs w:val="20"/>
        </w:rPr>
        <w:t>Intravitreal injections, including those with SYFOVRE, may be associated with endophthalmitis and retinal detachments. Proper aseptic injection technique must always be used when administering SYFOVRE to minimize the risk of endophthalmitis. Patients should be instructed to report any symptoms suggestive of endophthalmitis or retinal detachment without delay and should be managed appropriately.</w:t>
      </w:r>
    </w:p>
    <w:p w14:paraId="30479B73" w14:textId="77777777" w:rsidR="00AE419C" w:rsidRPr="00AE419C" w:rsidRDefault="00AE419C" w:rsidP="009541C4">
      <w:pPr>
        <w:pStyle w:val="ListParagraph"/>
        <w:numPr>
          <w:ilvl w:val="0"/>
          <w:numId w:val="2"/>
        </w:numPr>
        <w:tabs>
          <w:tab w:val="left" w:pos="1301"/>
        </w:tabs>
        <w:spacing w:before="0"/>
        <w:ind w:right="360"/>
        <w:rPr>
          <w:b/>
          <w:bCs/>
          <w:sz w:val="20"/>
        </w:rPr>
      </w:pPr>
      <w:r w:rsidRPr="00AE419C">
        <w:rPr>
          <w:b/>
          <w:bCs/>
          <w:sz w:val="20"/>
        </w:rPr>
        <w:t>Retinal Vasculitis and/or Retinal Vascular Occlusion</w:t>
      </w:r>
    </w:p>
    <w:p w14:paraId="7180E6E7" w14:textId="77777777" w:rsidR="0024580F" w:rsidRPr="0024580F" w:rsidRDefault="0024580F" w:rsidP="009541C4">
      <w:pPr>
        <w:pStyle w:val="ListParagraph"/>
        <w:numPr>
          <w:ilvl w:val="1"/>
          <w:numId w:val="2"/>
        </w:numPr>
        <w:tabs>
          <w:tab w:val="left" w:pos="1301"/>
        </w:tabs>
        <w:spacing w:before="0"/>
        <w:ind w:right="360"/>
        <w:rPr>
          <w:sz w:val="20"/>
          <w:szCs w:val="20"/>
        </w:rPr>
      </w:pPr>
      <w:r w:rsidRPr="0024580F">
        <w:rPr>
          <w:sz w:val="20"/>
          <w:szCs w:val="20"/>
        </w:rPr>
        <w:t>Retinal vasculitis and/or retinal vascular occlusion, typically in the presence of intraocular inflammation, have been reported with the use of SYFOVRE. Cases may occur with the first dose of SYFOVRE and may result in severe vision loss. Discontinue treatment with SYFOVRE in patients who develop these events. Patients should be instructed to report any change in vision without delay.</w:t>
      </w:r>
    </w:p>
    <w:p w14:paraId="4294150D" w14:textId="77777777" w:rsidR="00D41236" w:rsidRDefault="00000000" w:rsidP="009541C4">
      <w:pPr>
        <w:pStyle w:val="Heading2"/>
        <w:numPr>
          <w:ilvl w:val="0"/>
          <w:numId w:val="2"/>
        </w:numPr>
        <w:tabs>
          <w:tab w:val="left" w:pos="580"/>
        </w:tabs>
        <w:ind w:left="580" w:hanging="360"/>
      </w:pPr>
      <w:r>
        <w:t>Neovascular</w:t>
      </w:r>
      <w:r>
        <w:rPr>
          <w:spacing w:val="-14"/>
        </w:rPr>
        <w:t xml:space="preserve"> </w:t>
      </w:r>
      <w:r>
        <w:rPr>
          <w:spacing w:val="-5"/>
        </w:rPr>
        <w:t>AMD</w:t>
      </w:r>
    </w:p>
    <w:p w14:paraId="0E731C1E" w14:textId="77777777" w:rsidR="0024580F" w:rsidRPr="0024580F" w:rsidRDefault="0024580F" w:rsidP="009541C4">
      <w:pPr>
        <w:pStyle w:val="ListParagraph"/>
        <w:numPr>
          <w:ilvl w:val="1"/>
          <w:numId w:val="2"/>
        </w:numPr>
        <w:tabs>
          <w:tab w:val="left" w:pos="1301"/>
        </w:tabs>
        <w:spacing w:before="0"/>
        <w:ind w:right="360"/>
        <w:rPr>
          <w:sz w:val="20"/>
          <w:szCs w:val="20"/>
        </w:rPr>
      </w:pPr>
      <w:r w:rsidRPr="0024580F">
        <w:rPr>
          <w:sz w:val="20"/>
          <w:szCs w:val="20"/>
        </w:rPr>
        <w:t>In clinical trials, use of SYFOVRE was associated with increased rates of neovascular (wet) AMD or choroidal neovascularization (12% when administered monthly, 7% when administered every other month and 3% in the control group) by Month 24. Patients receiving SYFOVRE should be monitored for signs of neovascular AMD. In case anti-Vascular Endothelial Growth Factor (anti-VEGF) is required, it should be given separately from SYFOVRE administration.</w:t>
      </w:r>
    </w:p>
    <w:p w14:paraId="68A6A6ED" w14:textId="77777777" w:rsidR="00D41236" w:rsidRDefault="00000000" w:rsidP="009541C4">
      <w:pPr>
        <w:pStyle w:val="Heading2"/>
        <w:numPr>
          <w:ilvl w:val="0"/>
          <w:numId w:val="2"/>
        </w:numPr>
        <w:tabs>
          <w:tab w:val="left" w:pos="580"/>
        </w:tabs>
        <w:ind w:left="580" w:hanging="360"/>
      </w:pPr>
      <w:r>
        <w:t>Intraocular</w:t>
      </w:r>
      <w:r>
        <w:rPr>
          <w:spacing w:val="-10"/>
        </w:rPr>
        <w:t xml:space="preserve"> </w:t>
      </w:r>
      <w:r>
        <w:rPr>
          <w:spacing w:val="-2"/>
        </w:rPr>
        <w:t>Inflammation</w:t>
      </w:r>
    </w:p>
    <w:p w14:paraId="2FEBEFEA" w14:textId="77777777" w:rsidR="0024580F" w:rsidRPr="0024580F" w:rsidRDefault="0024580F" w:rsidP="009541C4">
      <w:pPr>
        <w:pStyle w:val="ListParagraph"/>
        <w:numPr>
          <w:ilvl w:val="1"/>
          <w:numId w:val="2"/>
        </w:numPr>
        <w:tabs>
          <w:tab w:val="left" w:pos="1301"/>
        </w:tabs>
        <w:spacing w:before="0"/>
        <w:ind w:right="360"/>
        <w:rPr>
          <w:sz w:val="20"/>
          <w:szCs w:val="20"/>
        </w:rPr>
      </w:pPr>
      <w:r w:rsidRPr="0024580F">
        <w:rPr>
          <w:sz w:val="20"/>
          <w:szCs w:val="20"/>
        </w:rPr>
        <w:t xml:space="preserve">In clinical trials, use of SYFOVRE was associated with episodes of intraocular inflammation including: </w:t>
      </w:r>
      <w:proofErr w:type="spellStart"/>
      <w:r w:rsidRPr="0024580F">
        <w:rPr>
          <w:sz w:val="20"/>
          <w:szCs w:val="20"/>
        </w:rPr>
        <w:t>vitritis</w:t>
      </w:r>
      <w:proofErr w:type="spellEnd"/>
      <w:r w:rsidRPr="0024580F">
        <w:rPr>
          <w:sz w:val="20"/>
          <w:szCs w:val="20"/>
        </w:rPr>
        <w:t xml:space="preserve">, </w:t>
      </w:r>
      <w:proofErr w:type="spellStart"/>
      <w:r w:rsidRPr="0024580F">
        <w:rPr>
          <w:sz w:val="20"/>
          <w:szCs w:val="20"/>
        </w:rPr>
        <w:t>vitreal</w:t>
      </w:r>
      <w:proofErr w:type="spellEnd"/>
      <w:r w:rsidRPr="0024580F">
        <w:rPr>
          <w:sz w:val="20"/>
          <w:szCs w:val="20"/>
        </w:rPr>
        <w:t xml:space="preserve"> cells, iridocyclitis, uveitis, anterior chamber cells, iritis, and anterior chamber flare. After inflammation resolves, patients may resume treatment with SYFOVRE.</w:t>
      </w:r>
    </w:p>
    <w:p w14:paraId="3CC22521" w14:textId="77777777" w:rsidR="00D41236" w:rsidRDefault="00000000" w:rsidP="009541C4">
      <w:pPr>
        <w:pStyle w:val="Heading2"/>
        <w:numPr>
          <w:ilvl w:val="0"/>
          <w:numId w:val="2"/>
        </w:numPr>
        <w:tabs>
          <w:tab w:val="left" w:pos="580"/>
        </w:tabs>
        <w:ind w:left="580" w:hanging="360"/>
      </w:pPr>
      <w:r>
        <w:t>Increased</w:t>
      </w:r>
      <w:r>
        <w:rPr>
          <w:spacing w:val="-11"/>
        </w:rPr>
        <w:t xml:space="preserve"> </w:t>
      </w:r>
      <w:r>
        <w:t>Intraocular</w:t>
      </w:r>
      <w:r>
        <w:rPr>
          <w:spacing w:val="-6"/>
        </w:rPr>
        <w:t xml:space="preserve"> </w:t>
      </w:r>
      <w:r>
        <w:rPr>
          <w:spacing w:val="-2"/>
        </w:rPr>
        <w:t>Pressure</w:t>
      </w:r>
    </w:p>
    <w:p w14:paraId="5ACE2F53" w14:textId="77777777" w:rsidR="0024580F" w:rsidRPr="0024580F" w:rsidRDefault="0024580F" w:rsidP="009541C4">
      <w:pPr>
        <w:pStyle w:val="ListParagraph"/>
        <w:numPr>
          <w:ilvl w:val="1"/>
          <w:numId w:val="2"/>
        </w:numPr>
        <w:tabs>
          <w:tab w:val="left" w:pos="1301"/>
        </w:tabs>
        <w:spacing w:before="0"/>
        <w:ind w:right="360"/>
        <w:rPr>
          <w:sz w:val="20"/>
          <w:szCs w:val="20"/>
        </w:rPr>
      </w:pPr>
      <w:r w:rsidRPr="0024580F">
        <w:rPr>
          <w:sz w:val="20"/>
          <w:szCs w:val="20"/>
        </w:rPr>
        <w:t>Acute increase in IOP may occur within minutes of any intravitreal injection, including with SYFOVRE. Perfusion of the optic nerve head should be monitored following the injection and managed as needed.</w:t>
      </w:r>
    </w:p>
    <w:p w14:paraId="36FBBFEA" w14:textId="77777777" w:rsidR="00D41236" w:rsidRDefault="00000000" w:rsidP="009541C4">
      <w:pPr>
        <w:pStyle w:val="Heading1"/>
      </w:pPr>
      <w:r>
        <w:t>ADVERSE</w:t>
      </w:r>
      <w:r>
        <w:rPr>
          <w:spacing w:val="-6"/>
        </w:rPr>
        <w:t xml:space="preserve"> </w:t>
      </w:r>
      <w:r>
        <w:rPr>
          <w:spacing w:val="-2"/>
        </w:rPr>
        <w:t>REACTIONS</w:t>
      </w:r>
    </w:p>
    <w:p w14:paraId="72FE5809" w14:textId="77777777" w:rsidR="00D41236" w:rsidRDefault="00000000" w:rsidP="009541C4">
      <w:pPr>
        <w:pStyle w:val="ListParagraph"/>
        <w:numPr>
          <w:ilvl w:val="0"/>
          <w:numId w:val="2"/>
        </w:numPr>
        <w:tabs>
          <w:tab w:val="left" w:pos="580"/>
        </w:tabs>
        <w:spacing w:before="0"/>
        <w:ind w:left="580" w:right="663"/>
        <w:rPr>
          <w:sz w:val="20"/>
        </w:rPr>
      </w:pPr>
      <w:r>
        <w:rPr>
          <w:sz w:val="20"/>
        </w:rPr>
        <w:t>Most</w:t>
      </w:r>
      <w:r>
        <w:rPr>
          <w:spacing w:val="-5"/>
          <w:sz w:val="20"/>
        </w:rPr>
        <w:t xml:space="preserve"> </w:t>
      </w:r>
      <w:r>
        <w:rPr>
          <w:sz w:val="20"/>
        </w:rPr>
        <w:t>common</w:t>
      </w:r>
      <w:r>
        <w:rPr>
          <w:spacing w:val="-2"/>
          <w:sz w:val="20"/>
        </w:rPr>
        <w:t xml:space="preserve"> </w:t>
      </w:r>
      <w:r>
        <w:rPr>
          <w:sz w:val="20"/>
        </w:rPr>
        <w:t>adverse</w:t>
      </w:r>
      <w:r>
        <w:rPr>
          <w:spacing w:val="-6"/>
          <w:sz w:val="20"/>
        </w:rPr>
        <w:t xml:space="preserve"> </w:t>
      </w:r>
      <w:r>
        <w:rPr>
          <w:sz w:val="20"/>
        </w:rPr>
        <w:t>reactions</w:t>
      </w:r>
      <w:r>
        <w:rPr>
          <w:spacing w:val="-5"/>
          <w:sz w:val="20"/>
        </w:rPr>
        <w:t xml:space="preserve"> </w:t>
      </w:r>
      <w:r>
        <w:rPr>
          <w:sz w:val="20"/>
        </w:rPr>
        <w:t>(incidence</w:t>
      </w:r>
      <w:r>
        <w:rPr>
          <w:spacing w:val="-2"/>
          <w:sz w:val="20"/>
        </w:rPr>
        <w:t xml:space="preserve"> </w:t>
      </w:r>
      <w:r>
        <w:rPr>
          <w:sz w:val="20"/>
        </w:rPr>
        <w:t>≥5%)</w:t>
      </w:r>
      <w:r>
        <w:rPr>
          <w:spacing w:val="-6"/>
          <w:sz w:val="20"/>
        </w:rPr>
        <w:t xml:space="preserve"> </w:t>
      </w:r>
      <w:r>
        <w:rPr>
          <w:sz w:val="20"/>
        </w:rPr>
        <w:t>are</w:t>
      </w:r>
      <w:r>
        <w:rPr>
          <w:spacing w:val="-6"/>
          <w:sz w:val="20"/>
        </w:rPr>
        <w:t xml:space="preserve"> </w:t>
      </w:r>
      <w:r>
        <w:rPr>
          <w:sz w:val="20"/>
        </w:rPr>
        <w:t>ocular</w:t>
      </w:r>
      <w:r>
        <w:rPr>
          <w:spacing w:val="-6"/>
          <w:sz w:val="20"/>
        </w:rPr>
        <w:t xml:space="preserve"> </w:t>
      </w:r>
      <w:r>
        <w:rPr>
          <w:sz w:val="20"/>
        </w:rPr>
        <w:t>discomfort,</w:t>
      </w:r>
      <w:r>
        <w:rPr>
          <w:spacing w:val="-2"/>
          <w:sz w:val="20"/>
        </w:rPr>
        <w:t xml:space="preserve"> </w:t>
      </w:r>
      <w:r>
        <w:rPr>
          <w:sz w:val="20"/>
        </w:rPr>
        <w:t>neovascular</w:t>
      </w:r>
      <w:r>
        <w:rPr>
          <w:spacing w:val="-6"/>
          <w:sz w:val="20"/>
        </w:rPr>
        <w:t xml:space="preserve"> </w:t>
      </w:r>
      <w:r>
        <w:rPr>
          <w:sz w:val="20"/>
        </w:rPr>
        <w:t>age-related macular degeneration, vitreous floaters, conjunctival hemorrhage.</w:t>
      </w:r>
    </w:p>
    <w:p w14:paraId="22843DEB" w14:textId="77777777" w:rsidR="00D41236" w:rsidRDefault="00D41236" w:rsidP="009541C4">
      <w:pPr>
        <w:pStyle w:val="BodyText"/>
      </w:pPr>
    </w:p>
    <w:p w14:paraId="18DFAC67" w14:textId="77777777" w:rsidR="00CC1B4D" w:rsidRDefault="00000000" w:rsidP="009541C4">
      <w:pPr>
        <w:pStyle w:val="Heading2"/>
        <w:rPr>
          <w:spacing w:val="-2"/>
        </w:rPr>
      </w:pPr>
      <w:r>
        <w:t>Please</w:t>
      </w:r>
      <w:r>
        <w:rPr>
          <w:spacing w:val="-5"/>
        </w:rPr>
        <w:t xml:space="preserve"> </w:t>
      </w:r>
      <w:r>
        <w:t>see</w:t>
      </w:r>
      <w:r>
        <w:rPr>
          <w:spacing w:val="-4"/>
        </w:rPr>
        <w:t xml:space="preserve"> </w:t>
      </w:r>
      <w:r>
        <w:t>full</w:t>
      </w:r>
      <w:r>
        <w:rPr>
          <w:spacing w:val="-4"/>
        </w:rPr>
        <w:t xml:space="preserve"> </w:t>
      </w:r>
      <w:hyperlink r:id="rId7">
        <w:r w:rsidR="00CC1B4D">
          <w:rPr>
            <w:u w:val="single"/>
          </w:rPr>
          <w:t>Prescribing</w:t>
        </w:r>
        <w:r w:rsidR="00CC1B4D">
          <w:rPr>
            <w:spacing w:val="-5"/>
            <w:u w:val="single"/>
          </w:rPr>
          <w:t xml:space="preserve"> </w:t>
        </w:r>
        <w:r w:rsidR="00CC1B4D">
          <w:rPr>
            <w:u w:val="single"/>
          </w:rPr>
          <w:t>Information</w:t>
        </w:r>
      </w:hyperlink>
      <w:r>
        <w:rPr>
          <w:spacing w:val="-4"/>
        </w:rPr>
        <w:t xml:space="preserve"> </w:t>
      </w:r>
      <w:r>
        <w:t>for more</w:t>
      </w:r>
      <w:r>
        <w:rPr>
          <w:spacing w:val="-4"/>
        </w:rPr>
        <w:t xml:space="preserve"> </w:t>
      </w:r>
      <w:r>
        <w:rPr>
          <w:spacing w:val="-2"/>
        </w:rPr>
        <w:t>information.</w:t>
      </w:r>
    </w:p>
    <w:p w14:paraId="0CC6EE2E" w14:textId="78A97AF9" w:rsidR="00D41236" w:rsidRPr="00CC1B4D" w:rsidRDefault="00000000" w:rsidP="00CC1B4D">
      <w:pPr>
        <w:pStyle w:val="Heading2"/>
        <w:spacing w:before="1"/>
        <w:sectPr w:rsidR="00D41236" w:rsidRPr="00CC1B4D" w:rsidSect="00C36E93">
          <w:footerReference w:type="even" r:id="rId8"/>
          <w:footerReference w:type="first" r:id="rId9"/>
          <w:type w:val="continuous"/>
          <w:pgSz w:w="12240" w:h="15840"/>
          <w:pgMar w:top="720" w:right="1224" w:bottom="274" w:left="1224" w:header="720" w:footer="720" w:gutter="0"/>
          <w:cols w:space="720"/>
        </w:sectPr>
      </w:pPr>
      <w:r>
        <w:rPr>
          <w:noProof/>
        </w:rPr>
        <mc:AlternateContent>
          <mc:Choice Requires="wps">
            <w:drawing>
              <wp:anchor distT="0" distB="0" distL="0" distR="0" simplePos="0" relativeHeight="487587840" behindDoc="1" locked="0" layoutInCell="1" allowOverlap="1" wp14:anchorId="23936917" wp14:editId="69335086">
                <wp:simplePos x="0" y="0"/>
                <wp:positionH relativeFrom="page">
                  <wp:posOffset>841692</wp:posOffset>
                </wp:positionH>
                <wp:positionV relativeFrom="paragraph">
                  <wp:posOffset>148085</wp:posOffset>
                </wp:positionV>
                <wp:extent cx="6092825" cy="46990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469900"/>
                        </a:xfrm>
                        <a:prstGeom prst="rect">
                          <a:avLst/>
                        </a:prstGeom>
                        <a:ln w="6350">
                          <a:solidFill>
                            <a:srgbClr val="000000"/>
                          </a:solidFill>
                          <a:prstDash val="solid"/>
                        </a:ln>
                      </wps:spPr>
                      <wps:txbx>
                        <w:txbxContent>
                          <w:p w14:paraId="5B32E981" w14:textId="41D288FF" w:rsidR="00D41236" w:rsidRDefault="00000000">
                            <w:pPr>
                              <w:pStyle w:val="BodyText"/>
                              <w:spacing w:before="22"/>
                              <w:ind w:left="110" w:right="199"/>
                            </w:pPr>
                            <w:r>
                              <w:t>APELLI</w:t>
                            </w:r>
                            <w:r w:rsidR="00037BDA">
                              <w:t>S</w:t>
                            </w:r>
                            <w:r w:rsidR="00037BDA" w:rsidRPr="00B10A97">
                              <w:rPr>
                                <w:vertAlign w:val="superscript"/>
                              </w:rPr>
                              <w:t>®</w:t>
                            </w:r>
                            <w:r>
                              <w:t>,</w:t>
                            </w:r>
                            <w:r>
                              <w:rPr>
                                <w:spacing w:val="-6"/>
                              </w:rPr>
                              <w:t xml:space="preserve"> </w:t>
                            </w:r>
                            <w:r>
                              <w:t>SYFOVR</w:t>
                            </w:r>
                            <w:r w:rsidR="00037BDA">
                              <w:t>E</w:t>
                            </w:r>
                            <w:r w:rsidR="00037BDA" w:rsidRPr="00B10A97">
                              <w:rPr>
                                <w:vertAlign w:val="superscript"/>
                              </w:rPr>
                              <w:t>®</w:t>
                            </w:r>
                            <w:r>
                              <w:rPr>
                                <w:spacing w:val="-5"/>
                              </w:rPr>
                              <w:t xml:space="preserve"> </w:t>
                            </w:r>
                            <w:r>
                              <w:t>and</w:t>
                            </w:r>
                            <w:r>
                              <w:rPr>
                                <w:spacing w:val="-6"/>
                              </w:rPr>
                              <w:t xml:space="preserve"> </w:t>
                            </w:r>
                            <w:r>
                              <w:t>their</w:t>
                            </w:r>
                            <w:r>
                              <w:rPr>
                                <w:spacing w:val="-5"/>
                              </w:rPr>
                              <w:t xml:space="preserve"> </w:t>
                            </w:r>
                            <w:r>
                              <w:t>respective</w:t>
                            </w:r>
                            <w:r>
                              <w:rPr>
                                <w:spacing w:val="-6"/>
                              </w:rPr>
                              <w:t xml:space="preserve"> </w:t>
                            </w:r>
                            <w:r>
                              <w:t>logos</w:t>
                            </w:r>
                            <w:r>
                              <w:rPr>
                                <w:spacing w:val="-5"/>
                              </w:rPr>
                              <w:t xml:space="preserve"> </w:t>
                            </w:r>
                            <w:r>
                              <w:t>are</w:t>
                            </w:r>
                            <w:r>
                              <w:rPr>
                                <w:spacing w:val="-6"/>
                              </w:rPr>
                              <w:t xml:space="preserve"> </w:t>
                            </w:r>
                            <w:r>
                              <w:t>registered</w:t>
                            </w:r>
                            <w:r>
                              <w:rPr>
                                <w:spacing w:val="-2"/>
                              </w:rPr>
                              <w:t xml:space="preserve"> </w:t>
                            </w:r>
                            <w:r>
                              <w:t>trademarks</w:t>
                            </w:r>
                            <w:r>
                              <w:rPr>
                                <w:spacing w:val="-1"/>
                              </w:rPr>
                              <w:t xml:space="preserve"> </w:t>
                            </w:r>
                            <w:r>
                              <w:t>and/or</w:t>
                            </w:r>
                            <w:r>
                              <w:rPr>
                                <w:spacing w:val="-6"/>
                              </w:rPr>
                              <w:t xml:space="preserve"> </w:t>
                            </w:r>
                            <w:r>
                              <w:t>trademarks</w:t>
                            </w:r>
                            <w:r>
                              <w:rPr>
                                <w:spacing w:val="-1"/>
                              </w:rPr>
                              <w:t xml:space="preserve"> </w:t>
                            </w:r>
                            <w:r>
                              <w:t>of Apellis Pharmaceuticals, Inc.</w:t>
                            </w:r>
                          </w:p>
                          <w:p w14:paraId="4B34EEFA" w14:textId="6E1C4636" w:rsidR="00D41236" w:rsidRDefault="00000000">
                            <w:pPr>
                              <w:pStyle w:val="BodyText"/>
                              <w:ind w:left="110"/>
                            </w:pPr>
                            <w:r>
                              <w:t>©</w:t>
                            </w:r>
                            <w:r>
                              <w:rPr>
                                <w:spacing w:val="-5"/>
                              </w:rPr>
                              <w:t xml:space="preserve"> </w:t>
                            </w:r>
                            <w:r>
                              <w:t>202</w:t>
                            </w:r>
                            <w:r w:rsidR="0024580F">
                              <w:t>5</w:t>
                            </w:r>
                            <w:r>
                              <w:rPr>
                                <w:spacing w:val="-9"/>
                              </w:rPr>
                              <w:t xml:space="preserve"> </w:t>
                            </w:r>
                            <w:r>
                              <w:t>Apellis</w:t>
                            </w:r>
                            <w:r>
                              <w:rPr>
                                <w:spacing w:val="-7"/>
                              </w:rPr>
                              <w:t xml:space="preserve"> </w:t>
                            </w:r>
                            <w:r>
                              <w:t>Pharmaceuticals,</w:t>
                            </w:r>
                            <w:r>
                              <w:rPr>
                                <w:spacing w:val="-3"/>
                              </w:rPr>
                              <w:t xml:space="preserve"> </w:t>
                            </w:r>
                            <w:r>
                              <w:t>Inc.</w:t>
                            </w:r>
                            <w:r>
                              <w:rPr>
                                <w:spacing w:val="-8"/>
                              </w:rPr>
                              <w:t xml:space="preserve"> </w:t>
                            </w:r>
                            <w:r>
                              <w:t>All</w:t>
                            </w:r>
                            <w:r>
                              <w:rPr>
                                <w:spacing w:val="-6"/>
                              </w:rPr>
                              <w:t xml:space="preserve"> </w:t>
                            </w:r>
                            <w:r>
                              <w:t>rights</w:t>
                            </w:r>
                            <w:r>
                              <w:rPr>
                                <w:spacing w:val="-7"/>
                              </w:rPr>
                              <w:t xml:space="preserve"> </w:t>
                            </w:r>
                            <w:r>
                              <w:t>reserved.</w:t>
                            </w:r>
                            <w:r>
                              <w:rPr>
                                <w:spacing w:val="-4"/>
                              </w:rPr>
                              <w:t xml:space="preserve"> </w:t>
                            </w:r>
                            <w:r w:rsidR="0024580F">
                              <w:t>2</w:t>
                            </w:r>
                            <w:r>
                              <w:t>/2</w:t>
                            </w:r>
                            <w:r w:rsidR="0024580F">
                              <w:t>5</w:t>
                            </w:r>
                            <w:r>
                              <w:rPr>
                                <w:spacing w:val="-9"/>
                              </w:rPr>
                              <w:t xml:space="preserve"> </w:t>
                            </w:r>
                            <w:r>
                              <w:t>US-PEGGA-2200043</w:t>
                            </w:r>
                            <w:r>
                              <w:rPr>
                                <w:spacing w:val="-8"/>
                              </w:rPr>
                              <w:t xml:space="preserve"> </w:t>
                            </w:r>
                            <w:r>
                              <w:rPr>
                                <w:spacing w:val="-4"/>
                              </w:rPr>
                              <w:t>v</w:t>
                            </w:r>
                            <w:r w:rsidR="0024580F">
                              <w:rPr>
                                <w:spacing w:val="-4"/>
                              </w:rPr>
                              <w:t>3</w:t>
                            </w:r>
                            <w:r>
                              <w:rPr>
                                <w:spacing w:val="-4"/>
                              </w:rPr>
                              <w:t>.0</w:t>
                            </w:r>
                          </w:p>
                        </w:txbxContent>
                      </wps:txbx>
                      <wps:bodyPr wrap="square" lIns="0" tIns="0" rIns="0" bIns="0" rtlCol="0">
                        <a:noAutofit/>
                      </wps:bodyPr>
                    </wps:wsp>
                  </a:graphicData>
                </a:graphic>
              </wp:anchor>
            </w:drawing>
          </mc:Choice>
          <mc:Fallback>
            <w:pict>
              <v:shapetype w14:anchorId="23936917" id="_x0000_t202" coordsize="21600,21600" o:spt="202" path="m,l,21600r21600,l21600,xe">
                <v:stroke joinstyle="miter"/>
                <v:path gradientshapeok="t" o:connecttype="rect"/>
              </v:shapetype>
              <v:shape id="Textbox 2" o:spid="_x0000_s1026" type="#_x0000_t202" style="position:absolute;left:0;text-align:left;margin-left:66.25pt;margin-top:11.65pt;width:479.75pt;height:3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" filled="f" strokeweight=".5pt">
                <v:path arrowok="t"/>
                <v:textbox inset="0,0,0,0">
                  <w:txbxContent>
                    <w:p w14:paraId="5B32E981" w14:textId="41D288FF" w:rsidR="00D41236" w:rsidRDefault="00000000">
                      <w:pPr>
                        <w:pStyle w:val="BodyText"/>
                        <w:spacing w:before="22"/>
                        <w:ind w:left="110" w:right="199"/>
                      </w:pPr>
                      <w:r>
                        <w:t>APELLI</w:t>
                      </w:r>
                      <w:r w:rsidR="00037BDA">
                        <w:t>S</w:t>
                      </w:r>
                      <w:r w:rsidR="00037BDA" w:rsidRPr="00B10A97">
                        <w:rPr>
                          <w:vertAlign w:val="superscript"/>
                        </w:rPr>
                        <w:t>®</w:t>
                      </w:r>
                      <w:r>
                        <w:t>,</w:t>
                      </w:r>
                      <w:r>
                        <w:rPr>
                          <w:spacing w:val="-6"/>
                        </w:rPr>
                        <w:t xml:space="preserve"> </w:t>
                      </w:r>
                      <w:r>
                        <w:t>SYFOVR</w:t>
                      </w:r>
                      <w:r w:rsidR="00037BDA">
                        <w:t>E</w:t>
                      </w:r>
                      <w:r w:rsidR="00037BDA" w:rsidRPr="00B10A97">
                        <w:rPr>
                          <w:vertAlign w:val="superscript"/>
                        </w:rPr>
                        <w:t>®</w:t>
                      </w:r>
                      <w:r>
                        <w:rPr>
                          <w:spacing w:val="-5"/>
                        </w:rPr>
                        <w:t xml:space="preserve"> </w:t>
                      </w:r>
                      <w:r>
                        <w:t>and</w:t>
                      </w:r>
                      <w:r>
                        <w:rPr>
                          <w:spacing w:val="-6"/>
                        </w:rPr>
                        <w:t xml:space="preserve"> </w:t>
                      </w:r>
                      <w:r>
                        <w:t>their</w:t>
                      </w:r>
                      <w:r>
                        <w:rPr>
                          <w:spacing w:val="-5"/>
                        </w:rPr>
                        <w:t xml:space="preserve"> </w:t>
                      </w:r>
                      <w:r>
                        <w:t>respective</w:t>
                      </w:r>
                      <w:r>
                        <w:rPr>
                          <w:spacing w:val="-6"/>
                        </w:rPr>
                        <w:t xml:space="preserve"> </w:t>
                      </w:r>
                      <w:r>
                        <w:t>logos</w:t>
                      </w:r>
                      <w:r>
                        <w:rPr>
                          <w:spacing w:val="-5"/>
                        </w:rPr>
                        <w:t xml:space="preserve"> </w:t>
                      </w:r>
                      <w:r>
                        <w:t>are</w:t>
                      </w:r>
                      <w:r>
                        <w:rPr>
                          <w:spacing w:val="-6"/>
                        </w:rPr>
                        <w:t xml:space="preserve"> </w:t>
                      </w:r>
                      <w:r>
                        <w:t>registered</w:t>
                      </w:r>
                      <w:r>
                        <w:rPr>
                          <w:spacing w:val="-2"/>
                        </w:rPr>
                        <w:t xml:space="preserve"> </w:t>
                      </w:r>
                      <w:r>
                        <w:t>trademarks</w:t>
                      </w:r>
                      <w:r>
                        <w:rPr>
                          <w:spacing w:val="-1"/>
                        </w:rPr>
                        <w:t xml:space="preserve"> </w:t>
                      </w:r>
                      <w:r>
                        <w:t>and/or</w:t>
                      </w:r>
                      <w:r>
                        <w:rPr>
                          <w:spacing w:val="-6"/>
                        </w:rPr>
                        <w:t xml:space="preserve"> </w:t>
                      </w:r>
                      <w:r>
                        <w:t>trademarks</w:t>
                      </w:r>
                      <w:r>
                        <w:rPr>
                          <w:spacing w:val="-1"/>
                        </w:rPr>
                        <w:t xml:space="preserve"> </w:t>
                      </w:r>
                      <w:r>
                        <w:t>of Apellis Pharmaceuticals, Inc.</w:t>
                      </w:r>
                    </w:p>
                    <w:p w14:paraId="4B34EEFA" w14:textId="6E1C4636" w:rsidR="00D41236" w:rsidRDefault="00000000">
                      <w:pPr>
                        <w:pStyle w:val="BodyText"/>
                        <w:ind w:left="110"/>
                      </w:pPr>
                      <w:r>
                        <w:t>©</w:t>
                      </w:r>
                      <w:r>
                        <w:rPr>
                          <w:spacing w:val="-5"/>
                        </w:rPr>
                        <w:t xml:space="preserve"> </w:t>
                      </w:r>
                      <w:r>
                        <w:t>202</w:t>
                      </w:r>
                      <w:r w:rsidR="0024580F">
                        <w:t>5</w:t>
                      </w:r>
                      <w:r>
                        <w:rPr>
                          <w:spacing w:val="-9"/>
                        </w:rPr>
                        <w:t xml:space="preserve"> </w:t>
                      </w:r>
                      <w:r>
                        <w:t>Apellis</w:t>
                      </w:r>
                      <w:r>
                        <w:rPr>
                          <w:spacing w:val="-7"/>
                        </w:rPr>
                        <w:t xml:space="preserve"> </w:t>
                      </w:r>
                      <w:r>
                        <w:t>Pharmaceuticals,</w:t>
                      </w:r>
                      <w:r>
                        <w:rPr>
                          <w:spacing w:val="-3"/>
                        </w:rPr>
                        <w:t xml:space="preserve"> </w:t>
                      </w:r>
                      <w:r>
                        <w:t>Inc.</w:t>
                      </w:r>
                      <w:r>
                        <w:rPr>
                          <w:spacing w:val="-8"/>
                        </w:rPr>
                        <w:t xml:space="preserve"> </w:t>
                      </w:r>
                      <w:r>
                        <w:t>All</w:t>
                      </w:r>
                      <w:r>
                        <w:rPr>
                          <w:spacing w:val="-6"/>
                        </w:rPr>
                        <w:t xml:space="preserve"> </w:t>
                      </w:r>
                      <w:r>
                        <w:t>rights</w:t>
                      </w:r>
                      <w:r>
                        <w:rPr>
                          <w:spacing w:val="-7"/>
                        </w:rPr>
                        <w:t xml:space="preserve"> </w:t>
                      </w:r>
                      <w:r>
                        <w:t>reserved.</w:t>
                      </w:r>
                      <w:r>
                        <w:rPr>
                          <w:spacing w:val="-4"/>
                        </w:rPr>
                        <w:t xml:space="preserve"> </w:t>
                      </w:r>
                      <w:r w:rsidR="0024580F">
                        <w:t>2</w:t>
                      </w:r>
                      <w:r>
                        <w:t>/2</w:t>
                      </w:r>
                      <w:r w:rsidR="0024580F">
                        <w:t>5</w:t>
                      </w:r>
                      <w:r>
                        <w:rPr>
                          <w:spacing w:val="-9"/>
                        </w:rPr>
                        <w:t xml:space="preserve"> </w:t>
                      </w:r>
                      <w:r>
                        <w:t>US-PEGGA-2200043</w:t>
                      </w:r>
                      <w:r>
                        <w:rPr>
                          <w:spacing w:val="-8"/>
                        </w:rPr>
                        <w:t xml:space="preserve"> </w:t>
                      </w:r>
                      <w:r>
                        <w:rPr>
                          <w:spacing w:val="-4"/>
                        </w:rPr>
                        <w:t>v</w:t>
                      </w:r>
                      <w:r w:rsidR="0024580F">
                        <w:rPr>
                          <w:spacing w:val="-4"/>
                        </w:rPr>
                        <w:t>3</w:t>
                      </w:r>
                      <w:r>
                        <w:rPr>
                          <w:spacing w:val="-4"/>
                        </w:rPr>
                        <w:t>.0</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0A51538" wp14:editId="082BFECE">
                <wp:simplePos x="0" y="0"/>
                <wp:positionH relativeFrom="page">
                  <wp:posOffset>849630</wp:posOffset>
                </wp:positionH>
                <wp:positionV relativeFrom="paragraph">
                  <wp:posOffset>745865</wp:posOffset>
                </wp:positionV>
                <wp:extent cx="61341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4100" cy="1270"/>
                        </a:xfrm>
                        <a:custGeom>
                          <a:avLst/>
                          <a:gdLst/>
                          <a:ahLst/>
                          <a:cxnLst/>
                          <a:rect l="l" t="t" r="r" b="b"/>
                          <a:pathLst>
                            <a:path w="6134100">
                              <a:moveTo>
                                <a:pt x="0" y="0"/>
                              </a:moveTo>
                              <a:lnTo>
                                <a:pt x="61341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05B54A" id="Graphic 3" o:spid="_x0000_s1026" style="position:absolute;margin-left:66.9pt;margin-top:58.75pt;width:48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1341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" path="m,l6134100,e" filled="f" strokeweight="1pt">
                <v:path arrowok="t"/>
                <w10:wrap type="topAndBottom" anchorx="page"/>
              </v:shape>
            </w:pict>
          </mc:Fallback>
        </mc:AlternateContent>
      </w:r>
    </w:p>
    <w:p w14:paraId="46AC0771" w14:textId="77777777" w:rsidR="00D41236" w:rsidRDefault="00000000">
      <w:pPr>
        <w:pStyle w:val="BodyText"/>
        <w:spacing w:before="83"/>
        <w:ind w:left="220"/>
      </w:pPr>
      <w:r>
        <w:rPr>
          <w:color w:val="FF00FF"/>
          <w:spacing w:val="-2"/>
        </w:rPr>
        <w:lastRenderedPageBreak/>
        <w:t>[Date]</w:t>
      </w:r>
    </w:p>
    <w:p w14:paraId="50A664BF" w14:textId="77777777" w:rsidR="00D41236" w:rsidRDefault="00000000">
      <w:pPr>
        <w:pStyle w:val="BodyText"/>
        <w:ind w:left="220" w:right="4640"/>
      </w:pPr>
      <w:r>
        <w:rPr>
          <w:color w:val="FF00FF"/>
        </w:rPr>
        <w:t>[Payer</w:t>
      </w:r>
      <w:r>
        <w:rPr>
          <w:color w:val="FF00FF"/>
          <w:spacing w:val="-14"/>
        </w:rPr>
        <w:t xml:space="preserve"> </w:t>
      </w:r>
      <w:r>
        <w:rPr>
          <w:color w:val="FF00FF"/>
        </w:rPr>
        <w:t>Medical/Pharmacy</w:t>
      </w:r>
      <w:r>
        <w:rPr>
          <w:color w:val="FF00FF"/>
          <w:spacing w:val="-14"/>
        </w:rPr>
        <w:t xml:space="preserve"> </w:t>
      </w:r>
      <w:r>
        <w:rPr>
          <w:color w:val="FF00FF"/>
        </w:rPr>
        <w:t>Director/Contact</w:t>
      </w:r>
      <w:r>
        <w:rPr>
          <w:color w:val="FF00FF"/>
          <w:spacing w:val="-14"/>
        </w:rPr>
        <w:t xml:space="preserve"> </w:t>
      </w:r>
      <w:r>
        <w:rPr>
          <w:color w:val="FF00FF"/>
        </w:rPr>
        <w:t>Name] [Payer Organization Name]</w:t>
      </w:r>
    </w:p>
    <w:p w14:paraId="1A73E667" w14:textId="77777777" w:rsidR="00D41236" w:rsidRDefault="00000000">
      <w:pPr>
        <w:pStyle w:val="BodyText"/>
        <w:ind w:left="220" w:right="7009"/>
      </w:pPr>
      <w:r>
        <w:rPr>
          <w:color w:val="FF00FF"/>
        </w:rPr>
        <w:t>[Payer Street Address] [Payer</w:t>
      </w:r>
      <w:r>
        <w:rPr>
          <w:color w:val="FF00FF"/>
          <w:spacing w:val="-12"/>
        </w:rPr>
        <w:t xml:space="preserve"> </w:t>
      </w:r>
      <w:r>
        <w:rPr>
          <w:color w:val="FF00FF"/>
        </w:rPr>
        <w:t>City,</w:t>
      </w:r>
      <w:r>
        <w:rPr>
          <w:color w:val="FF00FF"/>
          <w:spacing w:val="-12"/>
        </w:rPr>
        <w:t xml:space="preserve"> </w:t>
      </w:r>
      <w:r>
        <w:rPr>
          <w:color w:val="FF00FF"/>
        </w:rPr>
        <w:t>State,</w:t>
      </w:r>
      <w:r>
        <w:rPr>
          <w:color w:val="FF00FF"/>
          <w:spacing w:val="-8"/>
        </w:rPr>
        <w:t xml:space="preserve"> </w:t>
      </w:r>
      <w:r>
        <w:rPr>
          <w:color w:val="FF00FF"/>
        </w:rPr>
        <w:t>ZIP</w:t>
      </w:r>
      <w:r>
        <w:rPr>
          <w:color w:val="FF00FF"/>
          <w:spacing w:val="-11"/>
        </w:rPr>
        <w:t xml:space="preserve"> </w:t>
      </w:r>
      <w:r>
        <w:rPr>
          <w:color w:val="FF00FF"/>
        </w:rPr>
        <w:t>Code]</w:t>
      </w:r>
    </w:p>
    <w:p w14:paraId="6B5AD049" w14:textId="77777777" w:rsidR="00D41236" w:rsidRDefault="00D41236">
      <w:pPr>
        <w:pStyle w:val="BodyText"/>
      </w:pPr>
    </w:p>
    <w:p w14:paraId="15F57CAE" w14:textId="77777777" w:rsidR="00D41236" w:rsidRDefault="00000000">
      <w:pPr>
        <w:pStyle w:val="BodyText"/>
        <w:ind w:left="220"/>
      </w:pPr>
      <w:r>
        <w:t>RE:</w:t>
      </w:r>
      <w:r>
        <w:rPr>
          <w:spacing w:val="-6"/>
        </w:rPr>
        <w:t xml:space="preserve"> </w:t>
      </w:r>
      <w:r>
        <w:rPr>
          <w:color w:val="FF00FF"/>
        </w:rPr>
        <w:t>[Patient</w:t>
      </w:r>
      <w:r>
        <w:rPr>
          <w:color w:val="FF00FF"/>
          <w:spacing w:val="-6"/>
        </w:rPr>
        <w:t xml:space="preserve"> </w:t>
      </w:r>
      <w:r>
        <w:rPr>
          <w:color w:val="FF00FF"/>
          <w:spacing w:val="-2"/>
        </w:rPr>
        <w:t>Name]</w:t>
      </w:r>
    </w:p>
    <w:p w14:paraId="05BCD1F1" w14:textId="77777777" w:rsidR="00D41236" w:rsidRDefault="00000000">
      <w:pPr>
        <w:pStyle w:val="BodyText"/>
        <w:ind w:left="220"/>
      </w:pPr>
      <w:r>
        <w:t>Date</w:t>
      </w:r>
      <w:r>
        <w:rPr>
          <w:spacing w:val="-6"/>
        </w:rPr>
        <w:t xml:space="preserve"> </w:t>
      </w:r>
      <w:r>
        <w:t>of</w:t>
      </w:r>
      <w:r>
        <w:rPr>
          <w:spacing w:val="-6"/>
        </w:rPr>
        <w:t xml:space="preserve"> </w:t>
      </w:r>
      <w:r>
        <w:t>Birth:</w:t>
      </w:r>
      <w:r>
        <w:rPr>
          <w:spacing w:val="-2"/>
        </w:rPr>
        <w:t xml:space="preserve"> </w:t>
      </w:r>
      <w:r>
        <w:rPr>
          <w:color w:val="FF00FF"/>
        </w:rPr>
        <w:t>[Patient’s</w:t>
      </w:r>
      <w:r>
        <w:rPr>
          <w:color w:val="FF00FF"/>
          <w:spacing w:val="-5"/>
        </w:rPr>
        <w:t xml:space="preserve"> </w:t>
      </w:r>
      <w:r>
        <w:rPr>
          <w:color w:val="FF00FF"/>
          <w:spacing w:val="-4"/>
        </w:rPr>
        <w:t>DOB]</w:t>
      </w:r>
    </w:p>
    <w:p w14:paraId="37CEBCE7" w14:textId="77777777" w:rsidR="00D41236" w:rsidRDefault="00000000">
      <w:pPr>
        <w:pStyle w:val="BodyText"/>
        <w:ind w:left="220" w:right="4640"/>
      </w:pPr>
      <w:r>
        <w:t>Policy</w:t>
      </w:r>
      <w:r>
        <w:rPr>
          <w:spacing w:val="-9"/>
        </w:rPr>
        <w:t xml:space="preserve"> </w:t>
      </w:r>
      <w:r>
        <w:t>ID/Group</w:t>
      </w:r>
      <w:r>
        <w:rPr>
          <w:spacing w:val="-10"/>
        </w:rPr>
        <w:t xml:space="preserve"> </w:t>
      </w:r>
      <w:r>
        <w:t>Number:</w:t>
      </w:r>
      <w:r>
        <w:rPr>
          <w:spacing w:val="-8"/>
        </w:rPr>
        <w:t xml:space="preserve"> </w:t>
      </w:r>
      <w:r>
        <w:rPr>
          <w:color w:val="FF00FF"/>
        </w:rPr>
        <w:t>[Policy</w:t>
      </w:r>
      <w:r>
        <w:rPr>
          <w:color w:val="FF00FF"/>
          <w:spacing w:val="-9"/>
        </w:rPr>
        <w:t xml:space="preserve"> </w:t>
      </w:r>
      <w:r>
        <w:rPr>
          <w:color w:val="FF00FF"/>
        </w:rPr>
        <w:t>ID/Group</w:t>
      </w:r>
      <w:r>
        <w:rPr>
          <w:color w:val="FF00FF"/>
          <w:spacing w:val="-10"/>
        </w:rPr>
        <w:t xml:space="preserve"> </w:t>
      </w:r>
      <w:r>
        <w:rPr>
          <w:color w:val="FF00FF"/>
        </w:rPr>
        <w:t xml:space="preserve">Number] </w:t>
      </w:r>
      <w:r>
        <w:t xml:space="preserve">Policy Holder: </w:t>
      </w:r>
      <w:r>
        <w:rPr>
          <w:color w:val="FF00FF"/>
        </w:rPr>
        <w:t>[Policy Holder’s Name]</w:t>
      </w:r>
    </w:p>
    <w:p w14:paraId="1131C628" w14:textId="77777777" w:rsidR="00D41236" w:rsidRDefault="00D41236">
      <w:pPr>
        <w:pStyle w:val="BodyText"/>
        <w:spacing w:before="1"/>
      </w:pPr>
    </w:p>
    <w:p w14:paraId="3D8BB703" w14:textId="77777777" w:rsidR="00D41236" w:rsidRDefault="00000000">
      <w:pPr>
        <w:pStyle w:val="BodyText"/>
        <w:ind w:left="220"/>
      </w:pPr>
      <w:r>
        <w:t>Dear</w:t>
      </w:r>
      <w:r>
        <w:rPr>
          <w:spacing w:val="-9"/>
        </w:rPr>
        <w:t xml:space="preserve"> </w:t>
      </w:r>
      <w:r>
        <w:rPr>
          <w:color w:val="FF00FF"/>
        </w:rPr>
        <w:t>[Payer</w:t>
      </w:r>
      <w:r>
        <w:rPr>
          <w:color w:val="FF00FF"/>
          <w:spacing w:val="-4"/>
        </w:rPr>
        <w:t xml:space="preserve"> </w:t>
      </w:r>
      <w:r>
        <w:rPr>
          <w:color w:val="FF00FF"/>
        </w:rPr>
        <w:t>Medical/Pharmacy</w:t>
      </w:r>
      <w:r>
        <w:rPr>
          <w:color w:val="FF00FF"/>
          <w:spacing w:val="-8"/>
        </w:rPr>
        <w:t xml:space="preserve"> </w:t>
      </w:r>
      <w:r>
        <w:rPr>
          <w:color w:val="FF00FF"/>
        </w:rPr>
        <w:t>Director/Contact</w:t>
      </w:r>
      <w:r>
        <w:rPr>
          <w:color w:val="FF00FF"/>
          <w:spacing w:val="-7"/>
        </w:rPr>
        <w:t xml:space="preserve"> </w:t>
      </w:r>
      <w:r>
        <w:rPr>
          <w:color w:val="FF00FF"/>
          <w:spacing w:val="-2"/>
        </w:rPr>
        <w:t>Name]</w:t>
      </w:r>
      <w:r>
        <w:rPr>
          <w:spacing w:val="-2"/>
        </w:rPr>
        <w:t>:</w:t>
      </w:r>
    </w:p>
    <w:p w14:paraId="33F8B6B2" w14:textId="77777777" w:rsidR="00D41236" w:rsidRDefault="00D41236">
      <w:pPr>
        <w:pStyle w:val="BodyText"/>
      </w:pPr>
    </w:p>
    <w:p w14:paraId="6785A4E0" w14:textId="0EC020A6" w:rsidR="00D41236" w:rsidRDefault="00000000">
      <w:pPr>
        <w:pStyle w:val="BodyText"/>
        <w:ind w:left="220" w:right="334"/>
      </w:pPr>
      <w:r>
        <w:t xml:space="preserve">I am </w:t>
      </w:r>
      <w:r>
        <w:rPr>
          <w:color w:val="FF00FF"/>
        </w:rPr>
        <w:t>[Physician Name, Credentials, Specialty, Hospital/Practice]</w:t>
      </w:r>
      <w:r>
        <w:t xml:space="preserve">. I am writing on behalf of my patient, </w:t>
      </w:r>
      <w:r>
        <w:rPr>
          <w:color w:val="FF00FF"/>
        </w:rPr>
        <w:t>[Patient</w:t>
      </w:r>
      <w:r>
        <w:rPr>
          <w:color w:val="FF00FF"/>
          <w:spacing w:val="-6"/>
        </w:rPr>
        <w:t xml:space="preserve"> </w:t>
      </w:r>
      <w:r>
        <w:rPr>
          <w:color w:val="FF00FF"/>
        </w:rPr>
        <w:t>Name]</w:t>
      </w:r>
      <w:r>
        <w:t>,</w:t>
      </w:r>
      <w:r>
        <w:rPr>
          <w:spacing w:val="-6"/>
        </w:rPr>
        <w:t xml:space="preserve"> </w:t>
      </w:r>
      <w:r>
        <w:t>to</w:t>
      </w:r>
      <w:r>
        <w:rPr>
          <w:spacing w:val="-2"/>
        </w:rPr>
        <w:t xml:space="preserve"> </w:t>
      </w:r>
      <w:r>
        <w:t>document</w:t>
      </w:r>
      <w:r>
        <w:rPr>
          <w:spacing w:val="-6"/>
        </w:rPr>
        <w:t xml:space="preserve"> </w:t>
      </w:r>
      <w:r>
        <w:t>the</w:t>
      </w:r>
      <w:r>
        <w:rPr>
          <w:spacing w:val="-6"/>
        </w:rPr>
        <w:t xml:space="preserve"> </w:t>
      </w:r>
      <w:r>
        <w:t>medical</w:t>
      </w:r>
      <w:r>
        <w:rPr>
          <w:spacing w:val="-4"/>
        </w:rPr>
        <w:t xml:space="preserve"> </w:t>
      </w:r>
      <w:r>
        <w:t>necessity of</w:t>
      </w:r>
      <w:r>
        <w:rPr>
          <w:spacing w:val="-6"/>
        </w:rPr>
        <w:t xml:space="preserve"> </w:t>
      </w:r>
      <w:r>
        <w:t>SYFOVR</w:t>
      </w:r>
      <w:r w:rsidR="007836D3">
        <w:t>E</w:t>
      </w:r>
      <w:r w:rsidR="007836D3" w:rsidRPr="00B10A97">
        <w:rPr>
          <w:vertAlign w:val="superscript"/>
        </w:rPr>
        <w:t>®</w:t>
      </w:r>
      <w:r>
        <w:rPr>
          <w:spacing w:val="-5"/>
        </w:rPr>
        <w:t xml:space="preserve"> </w:t>
      </w:r>
      <w:r>
        <w:t>(pegcetacoplan</w:t>
      </w:r>
      <w:r>
        <w:rPr>
          <w:spacing w:val="-1"/>
        </w:rPr>
        <w:t xml:space="preserve"> </w:t>
      </w:r>
      <w:r>
        <w:t>injection)</w:t>
      </w:r>
      <w:r>
        <w:rPr>
          <w:spacing w:val="-11"/>
        </w:rPr>
        <w:t xml:space="preserve"> </w:t>
      </w:r>
      <w:r>
        <w:t>15</w:t>
      </w:r>
      <w:r>
        <w:rPr>
          <w:spacing w:val="-1"/>
        </w:rPr>
        <w:t xml:space="preserve"> </w:t>
      </w:r>
      <w:r>
        <w:t xml:space="preserve">mg/0.1 mL for the treatment of </w:t>
      </w:r>
      <w:r>
        <w:rPr>
          <w:color w:val="FF00FF"/>
        </w:rPr>
        <w:t>[diagnosis/condition</w:t>
      </w:r>
      <w:r w:rsidR="00437026">
        <w:rPr>
          <w:color w:val="FF00FF"/>
        </w:rPr>
        <w:t>]</w:t>
      </w:r>
      <w:r w:rsidR="00437026">
        <w:t>. This</w:t>
      </w:r>
      <w:r>
        <w:t xml:space="preserve"> letter provides information about </w:t>
      </w:r>
      <w:r>
        <w:rPr>
          <w:color w:val="FF00FF"/>
        </w:rPr>
        <w:t>[Patient Name]</w:t>
      </w:r>
      <w:r>
        <w:t>’s medical</w:t>
      </w:r>
      <w:r>
        <w:rPr>
          <w:spacing w:val="-2"/>
        </w:rPr>
        <w:t xml:space="preserve"> </w:t>
      </w:r>
      <w:r>
        <w:t>history,</w:t>
      </w:r>
      <w:r>
        <w:rPr>
          <w:spacing w:val="-3"/>
        </w:rPr>
        <w:t xml:space="preserve"> </w:t>
      </w:r>
      <w:r>
        <w:t>diagnosis,</w:t>
      </w:r>
      <w:r>
        <w:rPr>
          <w:spacing w:val="-3"/>
        </w:rPr>
        <w:t xml:space="preserve"> </w:t>
      </w:r>
      <w:r>
        <w:t>prognosis,</w:t>
      </w:r>
      <w:r>
        <w:rPr>
          <w:spacing w:val="-3"/>
        </w:rPr>
        <w:t xml:space="preserve"> </w:t>
      </w:r>
      <w:r>
        <w:t>and</w:t>
      </w:r>
      <w:r>
        <w:rPr>
          <w:spacing w:val="-1"/>
        </w:rPr>
        <w:t xml:space="preserve"> </w:t>
      </w:r>
      <w:r>
        <w:t>a</w:t>
      </w:r>
      <w:r>
        <w:rPr>
          <w:spacing w:val="-4"/>
        </w:rPr>
        <w:t xml:space="preserve"> </w:t>
      </w:r>
      <w:r>
        <w:t>summary</w:t>
      </w:r>
      <w:r>
        <w:rPr>
          <w:spacing w:val="-3"/>
        </w:rPr>
        <w:t xml:space="preserve"> </w:t>
      </w:r>
      <w:r>
        <w:t>of</w:t>
      </w:r>
      <w:r>
        <w:rPr>
          <w:spacing w:val="-3"/>
        </w:rPr>
        <w:t xml:space="preserve"> </w:t>
      </w:r>
      <w:r>
        <w:t>the</w:t>
      </w:r>
      <w:r>
        <w:rPr>
          <w:spacing w:val="-4"/>
        </w:rPr>
        <w:t xml:space="preserve"> </w:t>
      </w:r>
      <w:r>
        <w:t>rationale</w:t>
      </w:r>
      <w:r>
        <w:rPr>
          <w:spacing w:val="-3"/>
        </w:rPr>
        <w:t xml:space="preserve"> </w:t>
      </w:r>
      <w:r>
        <w:t>supporting</w:t>
      </w:r>
      <w:r>
        <w:rPr>
          <w:spacing w:val="-3"/>
        </w:rPr>
        <w:t xml:space="preserve"> </w:t>
      </w:r>
      <w:r>
        <w:t>the</w:t>
      </w:r>
      <w:r>
        <w:rPr>
          <w:spacing w:val="-4"/>
        </w:rPr>
        <w:t xml:space="preserve"> </w:t>
      </w:r>
      <w:r>
        <w:t>use of</w:t>
      </w:r>
      <w:r>
        <w:rPr>
          <w:spacing w:val="-3"/>
        </w:rPr>
        <w:t xml:space="preserve"> </w:t>
      </w:r>
      <w:r>
        <w:t>SYFOVRE for this patient.</w:t>
      </w:r>
    </w:p>
    <w:p w14:paraId="0D1319E4" w14:textId="77777777" w:rsidR="00D41236" w:rsidRDefault="00D41236">
      <w:pPr>
        <w:pStyle w:val="BodyText"/>
      </w:pPr>
    </w:p>
    <w:p w14:paraId="30D5049D" w14:textId="77777777" w:rsidR="00D41236" w:rsidRDefault="00000000">
      <w:pPr>
        <w:pStyle w:val="Heading2"/>
      </w:pPr>
      <w:r>
        <w:t>Summary</w:t>
      </w:r>
      <w:r>
        <w:rPr>
          <w:spacing w:val="-6"/>
        </w:rPr>
        <w:t xml:space="preserve"> </w:t>
      </w:r>
      <w:r>
        <w:t>of</w:t>
      </w:r>
      <w:r>
        <w:rPr>
          <w:spacing w:val="-5"/>
        </w:rPr>
        <w:t xml:space="preserve"> </w:t>
      </w:r>
      <w:r>
        <w:t>Patient’s</w:t>
      </w:r>
      <w:r>
        <w:rPr>
          <w:spacing w:val="-6"/>
        </w:rPr>
        <w:t xml:space="preserve"> </w:t>
      </w:r>
      <w:r>
        <w:t>Medical</w:t>
      </w:r>
      <w:r>
        <w:rPr>
          <w:spacing w:val="-5"/>
        </w:rPr>
        <w:t xml:space="preserve"> </w:t>
      </w:r>
      <w:r>
        <w:rPr>
          <w:spacing w:val="-2"/>
        </w:rPr>
        <w:t>History</w:t>
      </w:r>
    </w:p>
    <w:p w14:paraId="771ECB21" w14:textId="77777777" w:rsidR="00D41236" w:rsidRDefault="00000000">
      <w:pPr>
        <w:pStyle w:val="BodyText"/>
        <w:ind w:left="220"/>
      </w:pPr>
      <w:r>
        <w:rPr>
          <w:color w:val="FF00FF"/>
        </w:rPr>
        <w:t>[You</w:t>
      </w:r>
      <w:r>
        <w:rPr>
          <w:color w:val="FF00FF"/>
          <w:spacing w:val="-4"/>
        </w:rPr>
        <w:t xml:space="preserve"> </w:t>
      </w:r>
      <w:r>
        <w:rPr>
          <w:color w:val="FF00FF"/>
        </w:rPr>
        <w:t>may</w:t>
      </w:r>
      <w:r>
        <w:rPr>
          <w:color w:val="FF00FF"/>
          <w:spacing w:val="-3"/>
        </w:rPr>
        <w:t xml:space="preserve"> </w:t>
      </w:r>
      <w:r>
        <w:rPr>
          <w:color w:val="FF00FF"/>
        </w:rPr>
        <w:t>be</w:t>
      </w:r>
      <w:r>
        <w:rPr>
          <w:color w:val="FF00FF"/>
          <w:spacing w:val="-4"/>
        </w:rPr>
        <w:t xml:space="preserve"> </w:t>
      </w:r>
      <w:r>
        <w:rPr>
          <w:color w:val="FF00FF"/>
        </w:rPr>
        <w:t>required to</w:t>
      </w:r>
      <w:r>
        <w:rPr>
          <w:color w:val="FF00FF"/>
          <w:spacing w:val="-4"/>
        </w:rPr>
        <w:t xml:space="preserve"> </w:t>
      </w:r>
      <w:r>
        <w:rPr>
          <w:color w:val="FF00FF"/>
        </w:rPr>
        <w:t>include</w:t>
      </w:r>
      <w:r>
        <w:rPr>
          <w:color w:val="FF00FF"/>
          <w:spacing w:val="-3"/>
        </w:rPr>
        <w:t xml:space="preserve"> </w:t>
      </w:r>
      <w:r>
        <w:rPr>
          <w:color w:val="FF00FF"/>
        </w:rPr>
        <w:t>the</w:t>
      </w:r>
      <w:r>
        <w:rPr>
          <w:color w:val="FF00FF"/>
          <w:spacing w:val="-2"/>
        </w:rPr>
        <w:t xml:space="preserve"> following]:</w:t>
      </w:r>
    </w:p>
    <w:p w14:paraId="7363B7DB" w14:textId="77777777" w:rsidR="00D41236" w:rsidRDefault="00000000">
      <w:pPr>
        <w:pStyle w:val="ListParagraph"/>
        <w:numPr>
          <w:ilvl w:val="0"/>
          <w:numId w:val="1"/>
        </w:numPr>
        <w:tabs>
          <w:tab w:val="left" w:pos="940"/>
        </w:tabs>
        <w:spacing w:before="16"/>
        <w:ind w:left="940"/>
        <w:rPr>
          <w:sz w:val="20"/>
        </w:rPr>
      </w:pPr>
      <w:r>
        <w:rPr>
          <w:color w:val="FF00FF"/>
          <w:sz w:val="20"/>
        </w:rPr>
        <w:t>Patient’s</w:t>
      </w:r>
      <w:r>
        <w:rPr>
          <w:color w:val="FF00FF"/>
          <w:spacing w:val="-7"/>
          <w:sz w:val="20"/>
        </w:rPr>
        <w:t xml:space="preserve"> </w:t>
      </w:r>
      <w:r>
        <w:rPr>
          <w:color w:val="FF00FF"/>
          <w:sz w:val="20"/>
        </w:rPr>
        <w:t>diagnosis</w:t>
      </w:r>
      <w:r>
        <w:rPr>
          <w:color w:val="FF00FF"/>
          <w:spacing w:val="-4"/>
          <w:sz w:val="20"/>
        </w:rPr>
        <w:t xml:space="preserve"> </w:t>
      </w:r>
      <w:r>
        <w:rPr>
          <w:color w:val="FF00FF"/>
          <w:sz w:val="20"/>
        </w:rPr>
        <w:t>of</w:t>
      </w:r>
      <w:r>
        <w:rPr>
          <w:color w:val="FF00FF"/>
          <w:spacing w:val="-3"/>
          <w:sz w:val="20"/>
        </w:rPr>
        <w:t xml:space="preserve"> </w:t>
      </w:r>
      <w:r>
        <w:rPr>
          <w:color w:val="FF00FF"/>
          <w:sz w:val="20"/>
        </w:rPr>
        <w:t>GA</w:t>
      </w:r>
      <w:r>
        <w:rPr>
          <w:color w:val="FF00FF"/>
          <w:spacing w:val="-2"/>
          <w:sz w:val="20"/>
        </w:rPr>
        <w:t xml:space="preserve"> </w:t>
      </w:r>
      <w:r>
        <w:rPr>
          <w:color w:val="FF00FF"/>
          <w:sz w:val="20"/>
        </w:rPr>
        <w:t>and</w:t>
      </w:r>
      <w:r>
        <w:rPr>
          <w:color w:val="FF00FF"/>
          <w:spacing w:val="-5"/>
          <w:sz w:val="20"/>
        </w:rPr>
        <w:t xml:space="preserve"> </w:t>
      </w:r>
      <w:r>
        <w:rPr>
          <w:color w:val="FF00FF"/>
          <w:sz w:val="20"/>
        </w:rPr>
        <w:t>date</w:t>
      </w:r>
      <w:r>
        <w:rPr>
          <w:color w:val="FF00FF"/>
          <w:spacing w:val="-5"/>
          <w:sz w:val="20"/>
        </w:rPr>
        <w:t xml:space="preserve"> </w:t>
      </w:r>
      <w:r>
        <w:rPr>
          <w:color w:val="FF00FF"/>
          <w:sz w:val="20"/>
        </w:rPr>
        <w:t>of diagnosis</w:t>
      </w:r>
      <w:r>
        <w:rPr>
          <w:color w:val="FF00FF"/>
          <w:spacing w:val="2"/>
          <w:sz w:val="20"/>
        </w:rPr>
        <w:t xml:space="preserve"> </w:t>
      </w:r>
      <w:r>
        <w:rPr>
          <w:color w:val="FF00FF"/>
          <w:sz w:val="20"/>
        </w:rPr>
        <w:t>by</w:t>
      </w:r>
      <w:r>
        <w:rPr>
          <w:color w:val="FF00FF"/>
          <w:spacing w:val="-4"/>
          <w:sz w:val="20"/>
        </w:rPr>
        <w:t xml:space="preserve"> </w:t>
      </w:r>
      <w:r>
        <w:rPr>
          <w:color w:val="FF00FF"/>
          <w:sz w:val="20"/>
        </w:rPr>
        <w:t>[name of</w:t>
      </w:r>
      <w:r>
        <w:rPr>
          <w:color w:val="FF00FF"/>
          <w:spacing w:val="-4"/>
          <w:sz w:val="20"/>
        </w:rPr>
        <w:t xml:space="preserve"> </w:t>
      </w:r>
      <w:r>
        <w:rPr>
          <w:color w:val="FF00FF"/>
          <w:sz w:val="20"/>
        </w:rPr>
        <w:t>referring</w:t>
      </w:r>
      <w:r>
        <w:rPr>
          <w:color w:val="FF00FF"/>
          <w:spacing w:val="-4"/>
          <w:sz w:val="20"/>
        </w:rPr>
        <w:t xml:space="preserve"> </w:t>
      </w:r>
      <w:r>
        <w:rPr>
          <w:color w:val="FF00FF"/>
          <w:spacing w:val="-2"/>
          <w:sz w:val="20"/>
        </w:rPr>
        <w:t>physician]</w:t>
      </w:r>
    </w:p>
    <w:p w14:paraId="53914AF6" w14:textId="77777777" w:rsidR="00D41236" w:rsidRDefault="00000000">
      <w:pPr>
        <w:pStyle w:val="ListParagraph"/>
        <w:numPr>
          <w:ilvl w:val="0"/>
          <w:numId w:val="1"/>
        </w:numPr>
        <w:tabs>
          <w:tab w:val="left" w:pos="940"/>
        </w:tabs>
        <w:ind w:left="940"/>
        <w:rPr>
          <w:sz w:val="20"/>
        </w:rPr>
      </w:pPr>
      <w:r>
        <w:rPr>
          <w:color w:val="FF00FF"/>
          <w:sz w:val="20"/>
        </w:rPr>
        <w:t>Basis</w:t>
      </w:r>
      <w:r>
        <w:rPr>
          <w:color w:val="FF00FF"/>
          <w:spacing w:val="-8"/>
          <w:sz w:val="20"/>
        </w:rPr>
        <w:t xml:space="preserve"> </w:t>
      </w:r>
      <w:r>
        <w:rPr>
          <w:color w:val="FF00FF"/>
          <w:sz w:val="20"/>
        </w:rPr>
        <w:t>for</w:t>
      </w:r>
      <w:r>
        <w:rPr>
          <w:color w:val="FF00FF"/>
          <w:spacing w:val="-6"/>
          <w:sz w:val="20"/>
        </w:rPr>
        <w:t xml:space="preserve"> </w:t>
      </w:r>
      <w:r>
        <w:rPr>
          <w:color w:val="FF00FF"/>
          <w:sz w:val="20"/>
        </w:rPr>
        <w:t>diagnosis</w:t>
      </w:r>
      <w:r>
        <w:rPr>
          <w:color w:val="FF00FF"/>
          <w:spacing w:val="-5"/>
          <w:sz w:val="20"/>
        </w:rPr>
        <w:t xml:space="preserve"> </w:t>
      </w:r>
      <w:r>
        <w:rPr>
          <w:color w:val="FF00FF"/>
          <w:sz w:val="20"/>
        </w:rPr>
        <w:t>[details</w:t>
      </w:r>
      <w:r>
        <w:rPr>
          <w:color w:val="FF00FF"/>
          <w:spacing w:val="-5"/>
          <w:sz w:val="20"/>
        </w:rPr>
        <w:t xml:space="preserve"> </w:t>
      </w:r>
      <w:r>
        <w:rPr>
          <w:color w:val="FF00FF"/>
          <w:sz w:val="20"/>
        </w:rPr>
        <w:t>about</w:t>
      </w:r>
      <w:r>
        <w:rPr>
          <w:color w:val="FF00FF"/>
          <w:spacing w:val="-6"/>
          <w:sz w:val="20"/>
        </w:rPr>
        <w:t xml:space="preserve"> </w:t>
      </w:r>
      <w:r>
        <w:rPr>
          <w:color w:val="FF00FF"/>
          <w:sz w:val="20"/>
        </w:rPr>
        <w:t>diagnostic</w:t>
      </w:r>
      <w:r>
        <w:rPr>
          <w:color w:val="FF00FF"/>
          <w:spacing w:val="-5"/>
          <w:sz w:val="20"/>
        </w:rPr>
        <w:t xml:space="preserve"> </w:t>
      </w:r>
      <w:r>
        <w:rPr>
          <w:color w:val="FF00FF"/>
          <w:sz w:val="20"/>
        </w:rPr>
        <w:t>workup,</w:t>
      </w:r>
      <w:r>
        <w:rPr>
          <w:color w:val="FF00FF"/>
          <w:spacing w:val="-1"/>
          <w:sz w:val="20"/>
        </w:rPr>
        <w:t xml:space="preserve"> </w:t>
      </w:r>
      <w:r>
        <w:rPr>
          <w:color w:val="FF00FF"/>
          <w:sz w:val="20"/>
        </w:rPr>
        <w:t>relevant</w:t>
      </w:r>
      <w:r>
        <w:rPr>
          <w:color w:val="FF00FF"/>
          <w:spacing w:val="-6"/>
          <w:sz w:val="20"/>
        </w:rPr>
        <w:t xml:space="preserve"> </w:t>
      </w:r>
      <w:r>
        <w:rPr>
          <w:color w:val="FF00FF"/>
          <w:sz w:val="20"/>
        </w:rPr>
        <w:t>medical</w:t>
      </w:r>
      <w:r>
        <w:rPr>
          <w:color w:val="FF00FF"/>
          <w:spacing w:val="-4"/>
          <w:sz w:val="20"/>
        </w:rPr>
        <w:t xml:space="preserve"> </w:t>
      </w:r>
      <w:r>
        <w:rPr>
          <w:color w:val="FF00FF"/>
          <w:spacing w:val="-2"/>
          <w:sz w:val="20"/>
        </w:rPr>
        <w:t>history]</w:t>
      </w:r>
    </w:p>
    <w:p w14:paraId="07F5A9B2" w14:textId="77777777" w:rsidR="00D41236" w:rsidRDefault="00000000">
      <w:pPr>
        <w:pStyle w:val="ListParagraph"/>
        <w:numPr>
          <w:ilvl w:val="0"/>
          <w:numId w:val="1"/>
        </w:numPr>
        <w:tabs>
          <w:tab w:val="left" w:pos="941"/>
        </w:tabs>
        <w:spacing w:before="15"/>
        <w:ind w:right="342"/>
        <w:rPr>
          <w:sz w:val="20"/>
        </w:rPr>
      </w:pPr>
      <w:r>
        <w:rPr>
          <w:color w:val="FF00FF"/>
          <w:sz w:val="20"/>
        </w:rPr>
        <w:t>Patient’s</w:t>
      </w:r>
      <w:r>
        <w:rPr>
          <w:color w:val="FF00FF"/>
          <w:spacing w:val="-4"/>
          <w:sz w:val="20"/>
        </w:rPr>
        <w:t xml:space="preserve"> </w:t>
      </w:r>
      <w:r>
        <w:rPr>
          <w:color w:val="FF00FF"/>
          <w:sz w:val="20"/>
        </w:rPr>
        <w:t>current</w:t>
      </w:r>
      <w:r>
        <w:rPr>
          <w:color w:val="FF00FF"/>
          <w:spacing w:val="-5"/>
          <w:sz w:val="20"/>
        </w:rPr>
        <w:t xml:space="preserve"> </w:t>
      </w:r>
      <w:r>
        <w:rPr>
          <w:color w:val="FF00FF"/>
          <w:sz w:val="20"/>
        </w:rPr>
        <w:t>condition</w:t>
      </w:r>
      <w:r>
        <w:rPr>
          <w:color w:val="FF00FF"/>
          <w:spacing w:val="-5"/>
          <w:sz w:val="20"/>
        </w:rPr>
        <w:t xml:space="preserve"> </w:t>
      </w:r>
      <w:r>
        <w:rPr>
          <w:color w:val="FF00FF"/>
          <w:sz w:val="20"/>
        </w:rPr>
        <w:t>[current</w:t>
      </w:r>
      <w:r>
        <w:rPr>
          <w:color w:val="FF00FF"/>
          <w:spacing w:val="-5"/>
          <w:sz w:val="20"/>
        </w:rPr>
        <w:t xml:space="preserve"> </w:t>
      </w:r>
      <w:r>
        <w:rPr>
          <w:color w:val="FF00FF"/>
          <w:sz w:val="20"/>
        </w:rPr>
        <w:t>state,</w:t>
      </w:r>
      <w:r>
        <w:rPr>
          <w:color w:val="FF00FF"/>
          <w:spacing w:val="-5"/>
          <w:sz w:val="20"/>
        </w:rPr>
        <w:t xml:space="preserve"> </w:t>
      </w:r>
      <w:r>
        <w:rPr>
          <w:color w:val="FF00FF"/>
          <w:sz w:val="20"/>
        </w:rPr>
        <w:t>signs of</w:t>
      </w:r>
      <w:r>
        <w:rPr>
          <w:color w:val="FF00FF"/>
          <w:spacing w:val="-5"/>
          <w:sz w:val="20"/>
        </w:rPr>
        <w:t xml:space="preserve"> </w:t>
      </w:r>
      <w:r>
        <w:rPr>
          <w:color w:val="FF00FF"/>
          <w:sz w:val="20"/>
        </w:rPr>
        <w:t>disease progression</w:t>
      </w:r>
      <w:r>
        <w:rPr>
          <w:color w:val="FF00FF"/>
          <w:spacing w:val="-5"/>
          <w:sz w:val="20"/>
        </w:rPr>
        <w:t xml:space="preserve"> </w:t>
      </w:r>
      <w:r>
        <w:rPr>
          <w:color w:val="FF00FF"/>
          <w:sz w:val="20"/>
        </w:rPr>
        <w:t>that</w:t>
      </w:r>
      <w:r>
        <w:rPr>
          <w:color w:val="FF00FF"/>
          <w:spacing w:val="-5"/>
          <w:sz w:val="20"/>
        </w:rPr>
        <w:t xml:space="preserve"> </w:t>
      </w:r>
      <w:r>
        <w:rPr>
          <w:color w:val="FF00FF"/>
          <w:sz w:val="20"/>
        </w:rPr>
        <w:t>led to</w:t>
      </w:r>
      <w:r>
        <w:rPr>
          <w:color w:val="FF00FF"/>
          <w:spacing w:val="-6"/>
          <w:sz w:val="20"/>
        </w:rPr>
        <w:t xml:space="preserve"> </w:t>
      </w:r>
      <w:r>
        <w:rPr>
          <w:color w:val="FF00FF"/>
          <w:sz w:val="20"/>
        </w:rPr>
        <w:t>you</w:t>
      </w:r>
      <w:r>
        <w:rPr>
          <w:color w:val="FF00FF"/>
          <w:spacing w:val="-5"/>
          <w:sz w:val="20"/>
        </w:rPr>
        <w:t xml:space="preserve"> </w:t>
      </w:r>
      <w:r>
        <w:rPr>
          <w:color w:val="FF00FF"/>
          <w:sz w:val="20"/>
        </w:rPr>
        <w:t xml:space="preserve">prescribing </w:t>
      </w:r>
      <w:r>
        <w:rPr>
          <w:color w:val="FF00FF"/>
          <w:spacing w:val="-2"/>
          <w:sz w:val="20"/>
        </w:rPr>
        <w:t>SYFOVRE]</w:t>
      </w:r>
    </w:p>
    <w:p w14:paraId="767BBB79" w14:textId="77777777" w:rsidR="00D41236" w:rsidRDefault="00D41236">
      <w:pPr>
        <w:pStyle w:val="BodyText"/>
      </w:pPr>
    </w:p>
    <w:p w14:paraId="03D3F870" w14:textId="77777777" w:rsidR="00D41236" w:rsidRDefault="00000000">
      <w:pPr>
        <w:pStyle w:val="Heading2"/>
        <w:jc w:val="both"/>
      </w:pPr>
      <w:r>
        <w:t>Patient-Specific</w:t>
      </w:r>
      <w:r>
        <w:rPr>
          <w:spacing w:val="-10"/>
        </w:rPr>
        <w:t xml:space="preserve"> </w:t>
      </w:r>
      <w:r>
        <w:t>Rationale</w:t>
      </w:r>
      <w:r>
        <w:rPr>
          <w:spacing w:val="-6"/>
        </w:rPr>
        <w:t xml:space="preserve"> </w:t>
      </w:r>
      <w:r>
        <w:t>for</w:t>
      </w:r>
      <w:r>
        <w:rPr>
          <w:spacing w:val="-6"/>
        </w:rPr>
        <w:t xml:space="preserve"> </w:t>
      </w:r>
      <w:r>
        <w:rPr>
          <w:spacing w:val="-2"/>
        </w:rPr>
        <w:t>Treatment</w:t>
      </w:r>
    </w:p>
    <w:p w14:paraId="75EE8E51" w14:textId="77777777" w:rsidR="00D41236" w:rsidRDefault="00000000">
      <w:pPr>
        <w:pStyle w:val="BodyText"/>
        <w:ind w:left="220" w:right="301"/>
        <w:jc w:val="both"/>
      </w:pPr>
      <w:r>
        <w:rPr>
          <w:color w:val="FF00FF"/>
        </w:rPr>
        <w:t>[Explain</w:t>
      </w:r>
      <w:r>
        <w:rPr>
          <w:color w:val="FF00FF"/>
          <w:spacing w:val="-4"/>
        </w:rPr>
        <w:t xml:space="preserve"> </w:t>
      </w:r>
      <w:r>
        <w:rPr>
          <w:color w:val="FF00FF"/>
        </w:rPr>
        <w:t>why</w:t>
      </w:r>
      <w:r>
        <w:rPr>
          <w:color w:val="FF00FF"/>
          <w:spacing w:val="-4"/>
        </w:rPr>
        <w:t xml:space="preserve"> </w:t>
      </w:r>
      <w:r>
        <w:rPr>
          <w:color w:val="FF00FF"/>
        </w:rPr>
        <w:t>SYFOVRE</w:t>
      </w:r>
      <w:r>
        <w:rPr>
          <w:color w:val="FF00FF"/>
          <w:spacing w:val="-3"/>
        </w:rPr>
        <w:t xml:space="preserve"> </w:t>
      </w:r>
      <w:r>
        <w:rPr>
          <w:color w:val="FF00FF"/>
        </w:rPr>
        <w:t>is</w:t>
      </w:r>
      <w:r>
        <w:rPr>
          <w:color w:val="FF00FF"/>
          <w:spacing w:val="-4"/>
        </w:rPr>
        <w:t xml:space="preserve"> </w:t>
      </w:r>
      <w:r>
        <w:rPr>
          <w:color w:val="FF00FF"/>
        </w:rPr>
        <w:t>medically</w:t>
      </w:r>
      <w:r>
        <w:rPr>
          <w:color w:val="FF00FF"/>
          <w:spacing w:val="-4"/>
        </w:rPr>
        <w:t xml:space="preserve"> </w:t>
      </w:r>
      <w:r>
        <w:rPr>
          <w:color w:val="FF00FF"/>
        </w:rPr>
        <w:t>necessary</w:t>
      </w:r>
      <w:r>
        <w:rPr>
          <w:color w:val="FF00FF"/>
          <w:spacing w:val="-4"/>
        </w:rPr>
        <w:t xml:space="preserve"> </w:t>
      </w:r>
      <w:r>
        <w:rPr>
          <w:color w:val="FF00FF"/>
        </w:rPr>
        <w:t>for</w:t>
      </w:r>
      <w:r>
        <w:rPr>
          <w:color w:val="FF00FF"/>
          <w:spacing w:val="-5"/>
        </w:rPr>
        <w:t xml:space="preserve"> </w:t>
      </w:r>
      <w:r>
        <w:rPr>
          <w:color w:val="FF00FF"/>
        </w:rPr>
        <w:t>this patient.</w:t>
      </w:r>
      <w:r>
        <w:rPr>
          <w:color w:val="FF00FF"/>
          <w:spacing w:val="-1"/>
        </w:rPr>
        <w:t xml:space="preserve"> </w:t>
      </w:r>
      <w:r>
        <w:rPr>
          <w:color w:val="FF00FF"/>
        </w:rPr>
        <w:t>This</w:t>
      </w:r>
      <w:r>
        <w:rPr>
          <w:color w:val="FF00FF"/>
          <w:spacing w:val="-3"/>
        </w:rPr>
        <w:t xml:space="preserve"> </w:t>
      </w:r>
      <w:r>
        <w:rPr>
          <w:color w:val="FF00FF"/>
        </w:rPr>
        <w:t>may</w:t>
      </w:r>
      <w:r>
        <w:rPr>
          <w:color w:val="FF00FF"/>
          <w:spacing w:val="-4"/>
        </w:rPr>
        <w:t xml:space="preserve"> </w:t>
      </w:r>
      <w:r>
        <w:rPr>
          <w:color w:val="FF00FF"/>
        </w:rPr>
        <w:t>include</w:t>
      </w:r>
      <w:r>
        <w:rPr>
          <w:color w:val="FF00FF"/>
          <w:spacing w:val="-5"/>
        </w:rPr>
        <w:t xml:space="preserve"> </w:t>
      </w:r>
      <w:r>
        <w:rPr>
          <w:color w:val="FF00FF"/>
        </w:rPr>
        <w:t>your</w:t>
      </w:r>
      <w:r>
        <w:rPr>
          <w:color w:val="FF00FF"/>
          <w:spacing w:val="-5"/>
        </w:rPr>
        <w:t xml:space="preserve"> </w:t>
      </w:r>
      <w:r>
        <w:rPr>
          <w:color w:val="FF00FF"/>
        </w:rPr>
        <w:t>treatment</w:t>
      </w:r>
      <w:r>
        <w:rPr>
          <w:color w:val="FF00FF"/>
          <w:spacing w:val="-1"/>
        </w:rPr>
        <w:t xml:space="preserve"> </w:t>
      </w:r>
      <w:r>
        <w:rPr>
          <w:color w:val="FF00FF"/>
        </w:rPr>
        <w:t>rationale as</w:t>
      </w:r>
      <w:r>
        <w:rPr>
          <w:color w:val="FF00FF"/>
          <w:spacing w:val="-1"/>
        </w:rPr>
        <w:t xml:space="preserve"> </w:t>
      </w:r>
      <w:r>
        <w:rPr>
          <w:color w:val="FF00FF"/>
        </w:rPr>
        <w:t>well as</w:t>
      </w:r>
      <w:r>
        <w:rPr>
          <w:color w:val="FF00FF"/>
          <w:spacing w:val="-1"/>
        </w:rPr>
        <w:t xml:space="preserve"> </w:t>
      </w:r>
      <w:r>
        <w:rPr>
          <w:color w:val="FF00FF"/>
        </w:rPr>
        <w:t>your</w:t>
      </w:r>
      <w:r>
        <w:rPr>
          <w:color w:val="FF00FF"/>
          <w:spacing w:val="-2"/>
        </w:rPr>
        <w:t xml:space="preserve"> </w:t>
      </w:r>
      <w:r>
        <w:rPr>
          <w:color w:val="FF00FF"/>
        </w:rPr>
        <w:t>professional opinion of</w:t>
      </w:r>
      <w:r>
        <w:rPr>
          <w:color w:val="FF00FF"/>
          <w:spacing w:val="-2"/>
        </w:rPr>
        <w:t xml:space="preserve"> </w:t>
      </w:r>
      <w:r>
        <w:rPr>
          <w:color w:val="FF00FF"/>
        </w:rPr>
        <w:t>the</w:t>
      </w:r>
      <w:r>
        <w:rPr>
          <w:color w:val="FF00FF"/>
          <w:spacing w:val="-2"/>
        </w:rPr>
        <w:t xml:space="preserve"> </w:t>
      </w:r>
      <w:r>
        <w:rPr>
          <w:color w:val="FF00FF"/>
        </w:rPr>
        <w:t>patient’s</w:t>
      </w:r>
      <w:r>
        <w:rPr>
          <w:color w:val="FF00FF"/>
          <w:spacing w:val="-1"/>
        </w:rPr>
        <w:t xml:space="preserve"> </w:t>
      </w:r>
      <w:r>
        <w:rPr>
          <w:color w:val="FF00FF"/>
        </w:rPr>
        <w:t>anticipated</w:t>
      </w:r>
      <w:r>
        <w:rPr>
          <w:color w:val="FF00FF"/>
          <w:spacing w:val="-2"/>
        </w:rPr>
        <w:t xml:space="preserve"> </w:t>
      </w:r>
      <w:r>
        <w:rPr>
          <w:color w:val="FF00FF"/>
        </w:rPr>
        <w:t>prognosis</w:t>
      </w:r>
      <w:r>
        <w:rPr>
          <w:color w:val="FF00FF"/>
          <w:spacing w:val="-1"/>
        </w:rPr>
        <w:t xml:space="preserve"> </w:t>
      </w:r>
      <w:r>
        <w:rPr>
          <w:color w:val="FF00FF"/>
        </w:rPr>
        <w:t xml:space="preserve">or disease progression without </w:t>
      </w:r>
      <w:r>
        <w:rPr>
          <w:color w:val="FF00FF"/>
          <w:spacing w:val="-2"/>
        </w:rPr>
        <w:t>treatment.]</w:t>
      </w:r>
    </w:p>
    <w:p w14:paraId="5BD6AB04" w14:textId="77777777" w:rsidR="00D41236" w:rsidRDefault="00D41236">
      <w:pPr>
        <w:pStyle w:val="BodyText"/>
        <w:spacing w:before="1"/>
      </w:pPr>
    </w:p>
    <w:p w14:paraId="556BA061" w14:textId="77777777" w:rsidR="00D41236" w:rsidRDefault="00000000">
      <w:pPr>
        <w:pStyle w:val="BodyText"/>
        <w:ind w:left="220"/>
      </w:pPr>
      <w:r>
        <w:rPr>
          <w:color w:val="FF00FF"/>
        </w:rPr>
        <w:t>[Provider</w:t>
      </w:r>
      <w:r>
        <w:rPr>
          <w:color w:val="FF00FF"/>
          <w:spacing w:val="-4"/>
        </w:rPr>
        <w:t xml:space="preserve"> </w:t>
      </w:r>
      <w:r>
        <w:rPr>
          <w:color w:val="FF00FF"/>
        </w:rPr>
        <w:t>may</w:t>
      </w:r>
      <w:r>
        <w:rPr>
          <w:color w:val="FF00FF"/>
          <w:spacing w:val="-3"/>
        </w:rPr>
        <w:t xml:space="preserve"> </w:t>
      </w:r>
      <w:r>
        <w:rPr>
          <w:color w:val="FF00FF"/>
        </w:rPr>
        <w:t>choose</w:t>
      </w:r>
      <w:r>
        <w:rPr>
          <w:color w:val="FF00FF"/>
          <w:spacing w:val="-4"/>
        </w:rPr>
        <w:t xml:space="preserve"> </w:t>
      </w:r>
      <w:r>
        <w:rPr>
          <w:color w:val="FF00FF"/>
        </w:rPr>
        <w:t>to</w:t>
      </w:r>
      <w:r>
        <w:rPr>
          <w:color w:val="FF00FF"/>
          <w:spacing w:val="-4"/>
        </w:rPr>
        <w:t xml:space="preserve"> </w:t>
      </w:r>
      <w:r>
        <w:rPr>
          <w:color w:val="FF00FF"/>
        </w:rPr>
        <w:t>include</w:t>
      </w:r>
      <w:r>
        <w:rPr>
          <w:color w:val="FF00FF"/>
          <w:spacing w:val="-4"/>
        </w:rPr>
        <w:t xml:space="preserve"> </w:t>
      </w:r>
      <w:r>
        <w:rPr>
          <w:color w:val="FF00FF"/>
        </w:rPr>
        <w:t>the</w:t>
      </w:r>
      <w:r>
        <w:rPr>
          <w:color w:val="FF00FF"/>
          <w:spacing w:val="-4"/>
        </w:rPr>
        <w:t xml:space="preserve"> </w:t>
      </w:r>
      <w:r>
        <w:rPr>
          <w:color w:val="FF00FF"/>
        </w:rPr>
        <w:t>specific</w:t>
      </w:r>
      <w:r>
        <w:rPr>
          <w:color w:val="FF00FF"/>
          <w:spacing w:val="-3"/>
        </w:rPr>
        <w:t xml:space="preserve"> </w:t>
      </w:r>
      <w:r>
        <w:rPr>
          <w:color w:val="FF00FF"/>
        </w:rPr>
        <w:t>criteria</w:t>
      </w:r>
      <w:r>
        <w:rPr>
          <w:color w:val="FF00FF"/>
          <w:spacing w:val="-4"/>
        </w:rPr>
        <w:t xml:space="preserve"> </w:t>
      </w:r>
      <w:r>
        <w:rPr>
          <w:color w:val="FF00FF"/>
        </w:rPr>
        <w:t>for</w:t>
      </w:r>
      <w:r>
        <w:rPr>
          <w:color w:val="FF00FF"/>
          <w:spacing w:val="-4"/>
        </w:rPr>
        <w:t xml:space="preserve"> </w:t>
      </w:r>
      <w:r>
        <w:rPr>
          <w:color w:val="FF00FF"/>
        </w:rPr>
        <w:t>coverage that</w:t>
      </w:r>
      <w:r>
        <w:rPr>
          <w:color w:val="FF00FF"/>
          <w:spacing w:val="-4"/>
        </w:rPr>
        <w:t xml:space="preserve"> </w:t>
      </w:r>
      <w:r>
        <w:rPr>
          <w:color w:val="FF00FF"/>
        </w:rPr>
        <w:t>the</w:t>
      </w:r>
      <w:r>
        <w:rPr>
          <w:color w:val="FF00FF"/>
          <w:spacing w:val="-4"/>
        </w:rPr>
        <w:t xml:space="preserve"> </w:t>
      </w:r>
      <w:r>
        <w:rPr>
          <w:color w:val="FF00FF"/>
        </w:rPr>
        <w:t>patient meets</w:t>
      </w:r>
      <w:r>
        <w:rPr>
          <w:color w:val="FF00FF"/>
          <w:spacing w:val="-3"/>
        </w:rPr>
        <w:t xml:space="preserve"> </w:t>
      </w:r>
      <w:r>
        <w:rPr>
          <w:color w:val="FF00FF"/>
        </w:rPr>
        <w:t>based on</w:t>
      </w:r>
      <w:r>
        <w:rPr>
          <w:color w:val="FF00FF"/>
          <w:spacing w:val="-4"/>
        </w:rPr>
        <w:t xml:space="preserve"> </w:t>
      </w:r>
      <w:r>
        <w:rPr>
          <w:color w:val="FF00FF"/>
        </w:rPr>
        <w:t>the patient’s health plan and their policy, along with other relevant details.]</w:t>
      </w:r>
    </w:p>
    <w:p w14:paraId="1CF4809B" w14:textId="77777777" w:rsidR="00D41236" w:rsidRDefault="00D41236">
      <w:pPr>
        <w:pStyle w:val="BodyText"/>
      </w:pPr>
    </w:p>
    <w:p w14:paraId="6AF68C34" w14:textId="77777777" w:rsidR="00D41236" w:rsidRDefault="00000000">
      <w:pPr>
        <w:pStyle w:val="BodyText"/>
        <w:ind w:left="220" w:right="83"/>
      </w:pPr>
      <w:r>
        <w:t xml:space="preserve">Based upon </w:t>
      </w:r>
      <w:r>
        <w:rPr>
          <w:color w:val="FF40FF"/>
        </w:rPr>
        <w:t>[Patient Name]</w:t>
      </w:r>
      <w:r>
        <w:t>’s clinical condition and a review of the supporting documentation, I am confident</w:t>
      </w:r>
      <w:r>
        <w:rPr>
          <w:spacing w:val="-5"/>
        </w:rPr>
        <w:t xml:space="preserve"> </w:t>
      </w:r>
      <w:r>
        <w:t>you</w:t>
      </w:r>
      <w:r>
        <w:rPr>
          <w:spacing w:val="-5"/>
        </w:rPr>
        <w:t xml:space="preserve"> </w:t>
      </w:r>
      <w:r>
        <w:t>will</w:t>
      </w:r>
      <w:r>
        <w:rPr>
          <w:spacing w:val="-2"/>
        </w:rPr>
        <w:t xml:space="preserve"> </w:t>
      </w:r>
      <w:r>
        <w:t>agree</w:t>
      </w:r>
      <w:r>
        <w:rPr>
          <w:spacing w:val="-5"/>
        </w:rPr>
        <w:t xml:space="preserve"> </w:t>
      </w:r>
      <w:r>
        <w:t>that</w:t>
      </w:r>
      <w:r>
        <w:rPr>
          <w:spacing w:val="-2"/>
        </w:rPr>
        <w:t xml:space="preserve"> </w:t>
      </w:r>
      <w:r>
        <w:t>SYFOVRE</w:t>
      </w:r>
      <w:r>
        <w:rPr>
          <w:spacing w:val="-1"/>
        </w:rPr>
        <w:t xml:space="preserve"> </w:t>
      </w:r>
      <w:r>
        <w:t>is</w:t>
      </w:r>
      <w:r>
        <w:rPr>
          <w:spacing w:val="-3"/>
        </w:rPr>
        <w:t xml:space="preserve"> </w:t>
      </w:r>
      <w:r>
        <w:t>medically</w:t>
      </w:r>
      <w:r>
        <w:rPr>
          <w:spacing w:val="-4"/>
        </w:rPr>
        <w:t xml:space="preserve"> </w:t>
      </w:r>
      <w:r>
        <w:t>necessary</w:t>
      </w:r>
      <w:r>
        <w:rPr>
          <w:spacing w:val="-4"/>
        </w:rPr>
        <w:t xml:space="preserve"> </w:t>
      </w:r>
      <w:r>
        <w:t>for</w:t>
      </w:r>
      <w:r>
        <w:rPr>
          <w:spacing w:val="-1"/>
        </w:rPr>
        <w:t xml:space="preserve"> </w:t>
      </w:r>
      <w:r>
        <w:t>this</w:t>
      </w:r>
      <w:r>
        <w:rPr>
          <w:spacing w:val="-3"/>
        </w:rPr>
        <w:t xml:space="preserve"> </w:t>
      </w:r>
      <w:r>
        <w:t>patient.</w:t>
      </w:r>
      <w:r>
        <w:rPr>
          <w:spacing w:val="-2"/>
        </w:rPr>
        <w:t xml:space="preserve"> </w:t>
      </w:r>
      <w:r>
        <w:t>Please contact</w:t>
      </w:r>
      <w:r>
        <w:rPr>
          <w:spacing w:val="-4"/>
        </w:rPr>
        <w:t xml:space="preserve"> </w:t>
      </w:r>
      <w:r>
        <w:t>my</w:t>
      </w:r>
      <w:r>
        <w:rPr>
          <w:spacing w:val="-4"/>
        </w:rPr>
        <w:t xml:space="preserve"> </w:t>
      </w:r>
      <w:r>
        <w:t>office</w:t>
      </w:r>
      <w:r>
        <w:rPr>
          <w:spacing w:val="-5"/>
        </w:rPr>
        <w:t xml:space="preserve"> </w:t>
      </w:r>
      <w:r>
        <w:t xml:space="preserve">at </w:t>
      </w:r>
      <w:r>
        <w:rPr>
          <w:color w:val="FF40FF"/>
        </w:rPr>
        <w:t xml:space="preserve">[telephone number] </w:t>
      </w:r>
      <w:r>
        <w:t>if I can provide you with any additional information. I look forward to receiving your timely response and approval of this authorization.</w:t>
      </w:r>
    </w:p>
    <w:p w14:paraId="0F6D9530" w14:textId="77777777" w:rsidR="00D41236" w:rsidRDefault="00D41236">
      <w:pPr>
        <w:pStyle w:val="BodyText"/>
      </w:pPr>
    </w:p>
    <w:p w14:paraId="7A01144C" w14:textId="77777777" w:rsidR="00D41236" w:rsidRDefault="00000000">
      <w:pPr>
        <w:pStyle w:val="BodyText"/>
        <w:ind w:left="220"/>
      </w:pPr>
      <w:r>
        <w:rPr>
          <w:spacing w:val="-2"/>
        </w:rPr>
        <w:t>Sincerely,</w:t>
      </w:r>
    </w:p>
    <w:p w14:paraId="16749ADA" w14:textId="77777777" w:rsidR="00D41236" w:rsidRDefault="00000000">
      <w:pPr>
        <w:pStyle w:val="BodyText"/>
        <w:ind w:left="220" w:right="5694"/>
      </w:pPr>
      <w:r>
        <w:rPr>
          <w:color w:val="FF00FF"/>
        </w:rPr>
        <w:t>[Physician</w:t>
      </w:r>
      <w:r>
        <w:rPr>
          <w:color w:val="FF00FF"/>
          <w:spacing w:val="-11"/>
        </w:rPr>
        <w:t xml:space="preserve"> </w:t>
      </w:r>
      <w:r>
        <w:rPr>
          <w:color w:val="FF00FF"/>
        </w:rPr>
        <w:t>Name]</w:t>
      </w:r>
      <w:r>
        <w:t>,</w:t>
      </w:r>
      <w:r>
        <w:rPr>
          <w:spacing w:val="-7"/>
        </w:rPr>
        <w:t xml:space="preserve"> </w:t>
      </w:r>
      <w:r>
        <w:rPr>
          <w:color w:val="FF00FF"/>
        </w:rPr>
        <w:t>[</w:t>
      </w:r>
      <w:r>
        <w:t>MD</w:t>
      </w:r>
      <w:r>
        <w:rPr>
          <w:color w:val="FF00FF"/>
        </w:rPr>
        <w:t>]</w:t>
      </w:r>
      <w:r>
        <w:rPr>
          <w:color w:val="FF00FF"/>
          <w:spacing w:val="-11"/>
        </w:rPr>
        <w:t xml:space="preserve"> </w:t>
      </w:r>
      <w:r>
        <w:rPr>
          <w:color w:val="FF00FF"/>
        </w:rPr>
        <w:t>or</w:t>
      </w:r>
      <w:r>
        <w:rPr>
          <w:color w:val="FF00FF"/>
          <w:spacing w:val="-11"/>
        </w:rPr>
        <w:t xml:space="preserve"> </w:t>
      </w:r>
      <w:r>
        <w:rPr>
          <w:color w:val="FF00FF"/>
        </w:rPr>
        <w:t>[</w:t>
      </w:r>
      <w:r>
        <w:t>DO</w:t>
      </w:r>
      <w:r>
        <w:rPr>
          <w:color w:val="FF00FF"/>
        </w:rPr>
        <w:t>] [Participating</w:t>
      </w:r>
      <w:r>
        <w:rPr>
          <w:color w:val="FF00FF"/>
          <w:spacing w:val="-12"/>
        </w:rPr>
        <w:t xml:space="preserve"> </w:t>
      </w:r>
      <w:r>
        <w:rPr>
          <w:color w:val="FF00FF"/>
        </w:rPr>
        <w:t>Provider</w:t>
      </w:r>
      <w:r>
        <w:rPr>
          <w:color w:val="FF00FF"/>
          <w:spacing w:val="-11"/>
        </w:rPr>
        <w:t xml:space="preserve"> </w:t>
      </w:r>
      <w:r>
        <w:rPr>
          <w:color w:val="FF00FF"/>
          <w:spacing w:val="-2"/>
        </w:rPr>
        <w:t>Number]</w:t>
      </w:r>
    </w:p>
    <w:p w14:paraId="12655E9C" w14:textId="77777777" w:rsidR="00D41236" w:rsidRDefault="00D41236">
      <w:pPr>
        <w:pStyle w:val="BodyText"/>
      </w:pPr>
    </w:p>
    <w:p w14:paraId="55EB501A" w14:textId="77777777" w:rsidR="00D41236" w:rsidRDefault="00D41236">
      <w:pPr>
        <w:pStyle w:val="BodyText"/>
      </w:pPr>
    </w:p>
    <w:p w14:paraId="3F6CCF96" w14:textId="77777777" w:rsidR="00D41236" w:rsidRDefault="00D41236">
      <w:pPr>
        <w:pStyle w:val="BodyText"/>
        <w:spacing w:before="1"/>
      </w:pPr>
    </w:p>
    <w:p w14:paraId="4C6474AC" w14:textId="77777777" w:rsidR="00D41236" w:rsidRDefault="00000000">
      <w:pPr>
        <w:pStyle w:val="Heading2"/>
      </w:pPr>
      <w:r>
        <w:rPr>
          <w:spacing w:val="-2"/>
        </w:rPr>
        <w:t>Enclosures</w:t>
      </w:r>
    </w:p>
    <w:p w14:paraId="44DCD9C1" w14:textId="77777777" w:rsidR="00D41236" w:rsidRDefault="00000000">
      <w:pPr>
        <w:pStyle w:val="BodyText"/>
        <w:ind w:left="220"/>
      </w:pPr>
      <w:r>
        <w:rPr>
          <w:color w:val="FF00FF"/>
        </w:rPr>
        <w:t>[The</w:t>
      </w:r>
      <w:r>
        <w:rPr>
          <w:color w:val="FF00FF"/>
          <w:spacing w:val="-5"/>
        </w:rPr>
        <w:t xml:space="preserve"> </w:t>
      </w:r>
      <w:r>
        <w:rPr>
          <w:color w:val="FF00FF"/>
        </w:rPr>
        <w:t>following</w:t>
      </w:r>
      <w:r>
        <w:rPr>
          <w:color w:val="FF00FF"/>
          <w:spacing w:val="-5"/>
        </w:rPr>
        <w:t xml:space="preserve"> </w:t>
      </w:r>
      <w:r>
        <w:rPr>
          <w:color w:val="FF00FF"/>
        </w:rPr>
        <w:t>is</w:t>
      </w:r>
      <w:r>
        <w:rPr>
          <w:color w:val="FF00FF"/>
          <w:spacing w:val="-4"/>
        </w:rPr>
        <w:t xml:space="preserve"> </w:t>
      </w:r>
      <w:r>
        <w:rPr>
          <w:color w:val="FF00FF"/>
        </w:rPr>
        <w:t>a</w:t>
      </w:r>
      <w:r>
        <w:rPr>
          <w:color w:val="FF00FF"/>
          <w:spacing w:val="-5"/>
        </w:rPr>
        <w:t xml:space="preserve"> </w:t>
      </w:r>
      <w:r>
        <w:rPr>
          <w:color w:val="FF00FF"/>
        </w:rPr>
        <w:t>suggested</w:t>
      </w:r>
      <w:r>
        <w:rPr>
          <w:color w:val="FF00FF"/>
          <w:spacing w:val="-5"/>
        </w:rPr>
        <w:t xml:space="preserve"> </w:t>
      </w:r>
      <w:r>
        <w:rPr>
          <w:color w:val="FF00FF"/>
        </w:rPr>
        <w:t>list</w:t>
      </w:r>
      <w:r>
        <w:rPr>
          <w:color w:val="FF00FF"/>
          <w:spacing w:val="-4"/>
        </w:rPr>
        <w:t xml:space="preserve"> </w:t>
      </w:r>
      <w:r>
        <w:rPr>
          <w:color w:val="FF00FF"/>
        </w:rPr>
        <w:t>of enclosures.</w:t>
      </w:r>
      <w:r>
        <w:rPr>
          <w:color w:val="FF00FF"/>
          <w:spacing w:val="-4"/>
        </w:rPr>
        <w:t xml:space="preserve"> </w:t>
      </w:r>
      <w:r>
        <w:rPr>
          <w:color w:val="FF00FF"/>
        </w:rPr>
        <w:t>Please confirm</w:t>
      </w:r>
      <w:r>
        <w:rPr>
          <w:color w:val="FF00FF"/>
          <w:spacing w:val="-5"/>
        </w:rPr>
        <w:t xml:space="preserve"> </w:t>
      </w:r>
      <w:r>
        <w:rPr>
          <w:color w:val="FF00FF"/>
        </w:rPr>
        <w:t>the</w:t>
      </w:r>
      <w:r>
        <w:rPr>
          <w:color w:val="FF00FF"/>
          <w:spacing w:val="-5"/>
        </w:rPr>
        <w:t xml:space="preserve"> </w:t>
      </w:r>
      <w:r>
        <w:rPr>
          <w:color w:val="FF00FF"/>
        </w:rPr>
        <w:t>specific</w:t>
      </w:r>
      <w:r>
        <w:rPr>
          <w:color w:val="FF00FF"/>
          <w:spacing w:val="-4"/>
        </w:rPr>
        <w:t xml:space="preserve"> </w:t>
      </w:r>
      <w:r>
        <w:rPr>
          <w:color w:val="FF00FF"/>
        </w:rPr>
        <w:t>information required</w:t>
      </w:r>
      <w:r>
        <w:rPr>
          <w:color w:val="FF00FF"/>
          <w:spacing w:val="-5"/>
        </w:rPr>
        <w:t xml:space="preserve"> </w:t>
      </w:r>
      <w:r>
        <w:rPr>
          <w:color w:val="FF00FF"/>
        </w:rPr>
        <w:t>by</w:t>
      </w:r>
      <w:r>
        <w:rPr>
          <w:color w:val="FF00FF"/>
          <w:spacing w:val="-4"/>
        </w:rPr>
        <w:t xml:space="preserve"> </w:t>
      </w:r>
      <w:r>
        <w:rPr>
          <w:color w:val="FF00FF"/>
        </w:rPr>
        <w:t>your patient’s health plan to ensure you are providing accurate and complete information.]</w:t>
      </w:r>
    </w:p>
    <w:p w14:paraId="679A90D6" w14:textId="77777777" w:rsidR="00D41236" w:rsidRDefault="00000000">
      <w:pPr>
        <w:pStyle w:val="ListParagraph"/>
        <w:numPr>
          <w:ilvl w:val="0"/>
          <w:numId w:val="1"/>
        </w:numPr>
        <w:tabs>
          <w:tab w:val="left" w:pos="940"/>
        </w:tabs>
        <w:spacing w:before="15"/>
        <w:ind w:left="940"/>
        <w:rPr>
          <w:sz w:val="20"/>
        </w:rPr>
      </w:pPr>
      <w:r>
        <w:rPr>
          <w:color w:val="FF00FF"/>
          <w:sz w:val="20"/>
        </w:rPr>
        <w:t>Full</w:t>
      </w:r>
      <w:r>
        <w:rPr>
          <w:color w:val="FF00FF"/>
          <w:spacing w:val="-5"/>
          <w:sz w:val="20"/>
        </w:rPr>
        <w:t xml:space="preserve"> </w:t>
      </w:r>
      <w:r>
        <w:rPr>
          <w:color w:val="FF00FF"/>
          <w:sz w:val="20"/>
        </w:rPr>
        <w:t>Prescribing</w:t>
      </w:r>
      <w:r>
        <w:rPr>
          <w:color w:val="FF00FF"/>
          <w:spacing w:val="-7"/>
          <w:sz w:val="20"/>
        </w:rPr>
        <w:t xml:space="preserve"> </w:t>
      </w:r>
      <w:r>
        <w:rPr>
          <w:color w:val="FF00FF"/>
          <w:spacing w:val="-2"/>
          <w:sz w:val="20"/>
        </w:rPr>
        <w:t>Information</w:t>
      </w:r>
    </w:p>
    <w:p w14:paraId="2FB345C6" w14:textId="77777777" w:rsidR="00D41236" w:rsidRDefault="00000000">
      <w:pPr>
        <w:pStyle w:val="ListParagraph"/>
        <w:numPr>
          <w:ilvl w:val="0"/>
          <w:numId w:val="1"/>
        </w:numPr>
        <w:tabs>
          <w:tab w:val="left" w:pos="940"/>
        </w:tabs>
        <w:ind w:left="940"/>
        <w:rPr>
          <w:sz w:val="20"/>
        </w:rPr>
      </w:pPr>
      <w:r>
        <w:rPr>
          <w:color w:val="FF00FF"/>
          <w:sz w:val="20"/>
        </w:rPr>
        <w:t>Relevant</w:t>
      </w:r>
      <w:r>
        <w:rPr>
          <w:color w:val="FF00FF"/>
          <w:spacing w:val="-10"/>
          <w:sz w:val="20"/>
        </w:rPr>
        <w:t xml:space="preserve"> </w:t>
      </w:r>
      <w:r>
        <w:rPr>
          <w:color w:val="FF00FF"/>
          <w:sz w:val="20"/>
        </w:rPr>
        <w:t>clinical</w:t>
      </w:r>
      <w:r>
        <w:rPr>
          <w:color w:val="FF00FF"/>
          <w:spacing w:val="-8"/>
          <w:sz w:val="20"/>
        </w:rPr>
        <w:t xml:space="preserve"> </w:t>
      </w:r>
      <w:r>
        <w:rPr>
          <w:color w:val="FF00FF"/>
          <w:spacing w:val="-2"/>
          <w:sz w:val="20"/>
        </w:rPr>
        <w:t>documentation</w:t>
      </w:r>
    </w:p>
    <w:sectPr w:rsidR="00D41236">
      <w:pgSz w:w="12240" w:h="15840"/>
      <w:pgMar w:top="1360" w:right="12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FD21" w14:textId="77777777" w:rsidR="00795AF4" w:rsidRDefault="00795AF4" w:rsidP="00D8558D">
      <w:r>
        <w:separator/>
      </w:r>
    </w:p>
  </w:endnote>
  <w:endnote w:type="continuationSeparator" w:id="0">
    <w:p w14:paraId="2543C8F9" w14:textId="77777777" w:rsidR="00795AF4" w:rsidRDefault="00795AF4" w:rsidP="00D8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E3A5A" w14:textId="2A97D934" w:rsidR="00D8558D" w:rsidRDefault="00D8558D">
    <w:pPr>
      <w:pStyle w:val="Footer"/>
    </w:pPr>
    <w:r>
      <w:rPr>
        <w:noProof/>
      </w:rPr>
      <mc:AlternateContent>
        <mc:Choice Requires="wps">
          <w:drawing>
            <wp:anchor distT="0" distB="0" distL="0" distR="0" simplePos="0" relativeHeight="251659264" behindDoc="0" locked="0" layoutInCell="1" allowOverlap="1" wp14:anchorId="1E746A4C" wp14:editId="0A634172">
              <wp:simplePos x="635" y="635"/>
              <wp:positionH relativeFrom="page">
                <wp:align>center</wp:align>
              </wp:positionH>
              <wp:positionV relativeFrom="page">
                <wp:align>bottom</wp:align>
              </wp:positionV>
              <wp:extent cx="2934970" cy="345440"/>
              <wp:effectExtent l="0" t="0" r="11430" b="0"/>
              <wp:wrapNone/>
              <wp:docPr id="1680010005" name="Text Box 4"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5F462A8E" w14:textId="21DB7F4D" w:rsidR="00D8558D" w:rsidRPr="00D8558D" w:rsidRDefault="00D8558D" w:rsidP="00D8558D">
                          <w:pPr>
                            <w:rPr>
                              <w:rFonts w:ascii="Calibri" w:eastAsia="Calibri" w:hAnsi="Calibri" w:cs="Calibri"/>
                              <w:noProof/>
                              <w:color w:val="000000"/>
                              <w:sz w:val="20"/>
                              <w:szCs w:val="20"/>
                            </w:rPr>
                          </w:pPr>
                          <w:r w:rsidRPr="00D8558D">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746A4C" id="_x0000_t202" coordsize="21600,21600" o:spt="202" path="m,l,21600r21600,l21600,xe">
              <v:stroke joinstyle="miter"/>
              <v:path gradientshapeok="t" o:connecttype="rect"/>
            </v:shapetype>
            <v:shape id="Text Box 4" o:spid="_x0000_s1027" type="#_x0000_t202" alt="Confidential - Not for Public Consumption or Distribution" style="position:absolute;margin-left:0;margin-top:0;width:231.1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" filled="f" stroked="f">
              <v:fill o:detectmouseclick="t"/>
              <v:textbox style="mso-fit-shape-to-text:t" inset="0,0,0,15pt">
                <w:txbxContent>
                  <w:p w14:paraId="5F462A8E" w14:textId="21DB7F4D" w:rsidR="00D8558D" w:rsidRPr="00D8558D" w:rsidRDefault="00D8558D" w:rsidP="00D8558D">
                    <w:pPr>
                      <w:rPr>
                        <w:rFonts w:ascii="Calibri" w:eastAsia="Calibri" w:hAnsi="Calibri" w:cs="Calibri"/>
                        <w:noProof/>
                        <w:color w:val="000000"/>
                        <w:sz w:val="20"/>
                        <w:szCs w:val="20"/>
                      </w:rPr>
                    </w:pPr>
                    <w:r w:rsidRPr="00D8558D">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E47C4" w14:textId="6C14658F" w:rsidR="00D8558D" w:rsidRDefault="00D8558D">
    <w:pPr>
      <w:pStyle w:val="Footer"/>
    </w:pPr>
    <w:r>
      <w:rPr>
        <w:noProof/>
      </w:rPr>
      <mc:AlternateContent>
        <mc:Choice Requires="wps">
          <w:drawing>
            <wp:anchor distT="0" distB="0" distL="0" distR="0" simplePos="0" relativeHeight="251658240" behindDoc="0" locked="0" layoutInCell="1" allowOverlap="1" wp14:anchorId="65890E11" wp14:editId="4B5F5526">
              <wp:simplePos x="635" y="635"/>
              <wp:positionH relativeFrom="page">
                <wp:align>center</wp:align>
              </wp:positionH>
              <wp:positionV relativeFrom="page">
                <wp:align>bottom</wp:align>
              </wp:positionV>
              <wp:extent cx="2934970" cy="345440"/>
              <wp:effectExtent l="0" t="0" r="11430" b="0"/>
              <wp:wrapNone/>
              <wp:docPr id="354120787"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34970" cy="345440"/>
                      </a:xfrm>
                      <a:prstGeom prst="rect">
                        <a:avLst/>
                      </a:prstGeom>
                      <a:noFill/>
                      <a:ln>
                        <a:noFill/>
                      </a:ln>
                    </wps:spPr>
                    <wps:txbx>
                      <w:txbxContent>
                        <w:p w14:paraId="71A54B05" w14:textId="6D3BEE9B" w:rsidR="00D8558D" w:rsidRPr="00D8558D" w:rsidRDefault="00D8558D" w:rsidP="00D8558D">
                          <w:pPr>
                            <w:rPr>
                              <w:rFonts w:ascii="Calibri" w:eastAsia="Calibri" w:hAnsi="Calibri" w:cs="Calibri"/>
                              <w:noProof/>
                              <w:color w:val="000000"/>
                              <w:sz w:val="20"/>
                              <w:szCs w:val="20"/>
                            </w:rPr>
                          </w:pPr>
                          <w:r w:rsidRPr="00D8558D">
                            <w:rPr>
                              <w:rFonts w:ascii="Calibri" w:eastAsia="Calibri" w:hAnsi="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890E11" id="_x0000_t202" coordsize="21600,21600" o:spt="202" path="m,l,21600r21600,l21600,xe">
              <v:stroke joinstyle="miter"/>
              <v:path gradientshapeok="t" o:connecttype="rect"/>
            </v:shapetype>
            <v:shape id="Text Box 3" o:spid="_x0000_s1028" type="#_x0000_t202" alt="Confidential - Not for Public Consumption or Distribution" style="position:absolute;margin-left:0;margin-top:0;width:231.1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" filled="f" stroked="f">
              <v:fill o:detectmouseclick="t"/>
              <v:textbox style="mso-fit-shape-to-text:t" inset="0,0,0,15pt">
                <w:txbxContent>
                  <w:p w14:paraId="71A54B05" w14:textId="6D3BEE9B" w:rsidR="00D8558D" w:rsidRPr="00D8558D" w:rsidRDefault="00D8558D" w:rsidP="00D8558D">
                    <w:pPr>
                      <w:rPr>
                        <w:rFonts w:ascii="Calibri" w:eastAsia="Calibri" w:hAnsi="Calibri" w:cs="Calibri"/>
                        <w:noProof/>
                        <w:color w:val="000000"/>
                        <w:sz w:val="20"/>
                        <w:szCs w:val="20"/>
                      </w:rPr>
                    </w:pPr>
                    <w:r w:rsidRPr="00D8558D">
                      <w:rPr>
                        <w:rFonts w:ascii="Calibri" w:eastAsia="Calibri" w:hAnsi="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5A254" w14:textId="77777777" w:rsidR="00795AF4" w:rsidRDefault="00795AF4" w:rsidP="00D8558D">
      <w:r>
        <w:separator/>
      </w:r>
    </w:p>
  </w:footnote>
  <w:footnote w:type="continuationSeparator" w:id="0">
    <w:p w14:paraId="3DF95596" w14:textId="77777777" w:rsidR="00795AF4" w:rsidRDefault="00795AF4" w:rsidP="00D8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D4990"/>
    <w:multiLevelType w:val="hybridMultilevel"/>
    <w:tmpl w:val="BBFAE236"/>
    <w:lvl w:ilvl="0" w:tplc="C3D0996A">
      <w:numFmt w:val="bullet"/>
      <w:lvlText w:val="•"/>
      <w:lvlJc w:val="left"/>
      <w:pPr>
        <w:ind w:left="479" w:hanging="361"/>
      </w:pPr>
      <w:rPr>
        <w:rFonts w:ascii="Arial" w:eastAsia="Arial" w:hAnsi="Arial" w:cs="Arial" w:hint="default"/>
        <w:b w:val="0"/>
        <w:bCs w:val="0"/>
        <w:i w:val="0"/>
        <w:iCs w:val="0"/>
        <w:color w:val="A92790"/>
        <w:spacing w:val="0"/>
        <w:w w:val="131"/>
        <w:sz w:val="22"/>
        <w:szCs w:val="22"/>
        <w:lang w:val="en-US" w:eastAsia="en-US" w:bidi="ar-SA"/>
      </w:rPr>
    </w:lvl>
    <w:lvl w:ilvl="1" w:tplc="22E047C0">
      <w:numFmt w:val="bullet"/>
      <w:lvlText w:val="o"/>
      <w:lvlJc w:val="left"/>
      <w:pPr>
        <w:ind w:left="1199" w:hanging="361"/>
      </w:pPr>
      <w:rPr>
        <w:rFonts w:ascii="Courier New" w:eastAsia="Courier New" w:hAnsi="Courier New" w:cs="Courier New" w:hint="default"/>
        <w:b w:val="0"/>
        <w:bCs w:val="0"/>
        <w:i w:val="0"/>
        <w:iCs w:val="0"/>
        <w:spacing w:val="0"/>
        <w:w w:val="100"/>
        <w:sz w:val="22"/>
        <w:szCs w:val="22"/>
        <w:lang w:val="en-US" w:eastAsia="en-US" w:bidi="ar-SA"/>
      </w:rPr>
    </w:lvl>
    <w:lvl w:ilvl="2" w:tplc="E8628A54">
      <w:numFmt w:val="bullet"/>
      <w:lvlText w:val="•"/>
      <w:lvlJc w:val="left"/>
      <w:pPr>
        <w:ind w:left="2128" w:hanging="361"/>
      </w:pPr>
      <w:rPr>
        <w:rFonts w:hint="default"/>
        <w:lang w:val="en-US" w:eastAsia="en-US" w:bidi="ar-SA"/>
      </w:rPr>
    </w:lvl>
    <w:lvl w:ilvl="3" w:tplc="4950FEEC">
      <w:numFmt w:val="bullet"/>
      <w:lvlText w:val="•"/>
      <w:lvlJc w:val="left"/>
      <w:pPr>
        <w:ind w:left="3057" w:hanging="361"/>
      </w:pPr>
      <w:rPr>
        <w:rFonts w:hint="default"/>
        <w:lang w:val="en-US" w:eastAsia="en-US" w:bidi="ar-SA"/>
      </w:rPr>
    </w:lvl>
    <w:lvl w:ilvl="4" w:tplc="353CC8AE">
      <w:numFmt w:val="bullet"/>
      <w:lvlText w:val="•"/>
      <w:lvlJc w:val="left"/>
      <w:pPr>
        <w:ind w:left="3986" w:hanging="361"/>
      </w:pPr>
      <w:rPr>
        <w:rFonts w:hint="default"/>
        <w:lang w:val="en-US" w:eastAsia="en-US" w:bidi="ar-SA"/>
      </w:rPr>
    </w:lvl>
    <w:lvl w:ilvl="5" w:tplc="55BEF24C">
      <w:numFmt w:val="bullet"/>
      <w:lvlText w:val="•"/>
      <w:lvlJc w:val="left"/>
      <w:pPr>
        <w:ind w:left="4915" w:hanging="361"/>
      </w:pPr>
      <w:rPr>
        <w:rFonts w:hint="default"/>
        <w:lang w:val="en-US" w:eastAsia="en-US" w:bidi="ar-SA"/>
      </w:rPr>
    </w:lvl>
    <w:lvl w:ilvl="6" w:tplc="125E135C">
      <w:numFmt w:val="bullet"/>
      <w:lvlText w:val="•"/>
      <w:lvlJc w:val="left"/>
      <w:pPr>
        <w:ind w:left="5844" w:hanging="361"/>
      </w:pPr>
      <w:rPr>
        <w:rFonts w:hint="default"/>
        <w:lang w:val="en-US" w:eastAsia="en-US" w:bidi="ar-SA"/>
      </w:rPr>
    </w:lvl>
    <w:lvl w:ilvl="7" w:tplc="082E0C0C">
      <w:numFmt w:val="bullet"/>
      <w:lvlText w:val="•"/>
      <w:lvlJc w:val="left"/>
      <w:pPr>
        <w:ind w:left="6773" w:hanging="361"/>
      </w:pPr>
      <w:rPr>
        <w:rFonts w:hint="default"/>
        <w:lang w:val="en-US" w:eastAsia="en-US" w:bidi="ar-SA"/>
      </w:rPr>
    </w:lvl>
    <w:lvl w:ilvl="8" w:tplc="8062D6B8">
      <w:numFmt w:val="bullet"/>
      <w:lvlText w:val="•"/>
      <w:lvlJc w:val="left"/>
      <w:pPr>
        <w:ind w:left="7702" w:hanging="361"/>
      </w:pPr>
      <w:rPr>
        <w:rFonts w:hint="default"/>
        <w:lang w:val="en-US" w:eastAsia="en-US" w:bidi="ar-SA"/>
      </w:rPr>
    </w:lvl>
  </w:abstractNum>
  <w:abstractNum w:abstractNumId="1" w15:restartNumberingAfterBreak="0">
    <w:nsid w:val="4AC664FF"/>
    <w:multiLevelType w:val="hybridMultilevel"/>
    <w:tmpl w:val="CE10D9EC"/>
    <w:lvl w:ilvl="0" w:tplc="F4B6B32C">
      <w:numFmt w:val="bullet"/>
      <w:lvlText w:val="•"/>
      <w:lvlJc w:val="left"/>
      <w:pPr>
        <w:ind w:left="941" w:hanging="360"/>
      </w:pPr>
      <w:rPr>
        <w:rFonts w:ascii="Arial" w:eastAsia="Arial" w:hAnsi="Arial" w:cs="Arial" w:hint="default"/>
        <w:b w:val="0"/>
        <w:bCs w:val="0"/>
        <w:i w:val="0"/>
        <w:iCs w:val="0"/>
        <w:color w:val="FF00FF"/>
        <w:spacing w:val="0"/>
        <w:w w:val="131"/>
        <w:sz w:val="20"/>
        <w:szCs w:val="20"/>
        <w:lang w:val="en-US" w:eastAsia="en-US" w:bidi="ar-SA"/>
      </w:rPr>
    </w:lvl>
    <w:lvl w:ilvl="1" w:tplc="1550F668">
      <w:numFmt w:val="bullet"/>
      <w:lvlText w:val="•"/>
      <w:lvlJc w:val="left"/>
      <w:pPr>
        <w:ind w:left="1826" w:hanging="360"/>
      </w:pPr>
      <w:rPr>
        <w:rFonts w:hint="default"/>
        <w:lang w:val="en-US" w:eastAsia="en-US" w:bidi="ar-SA"/>
      </w:rPr>
    </w:lvl>
    <w:lvl w:ilvl="2" w:tplc="84CAB4F0">
      <w:numFmt w:val="bullet"/>
      <w:lvlText w:val="•"/>
      <w:lvlJc w:val="left"/>
      <w:pPr>
        <w:ind w:left="2712" w:hanging="360"/>
      </w:pPr>
      <w:rPr>
        <w:rFonts w:hint="default"/>
        <w:lang w:val="en-US" w:eastAsia="en-US" w:bidi="ar-SA"/>
      </w:rPr>
    </w:lvl>
    <w:lvl w:ilvl="3" w:tplc="D3F85504">
      <w:numFmt w:val="bullet"/>
      <w:lvlText w:val="•"/>
      <w:lvlJc w:val="left"/>
      <w:pPr>
        <w:ind w:left="3598" w:hanging="360"/>
      </w:pPr>
      <w:rPr>
        <w:rFonts w:hint="default"/>
        <w:lang w:val="en-US" w:eastAsia="en-US" w:bidi="ar-SA"/>
      </w:rPr>
    </w:lvl>
    <w:lvl w:ilvl="4" w:tplc="0642851A">
      <w:numFmt w:val="bullet"/>
      <w:lvlText w:val="•"/>
      <w:lvlJc w:val="left"/>
      <w:pPr>
        <w:ind w:left="4484" w:hanging="360"/>
      </w:pPr>
      <w:rPr>
        <w:rFonts w:hint="default"/>
        <w:lang w:val="en-US" w:eastAsia="en-US" w:bidi="ar-SA"/>
      </w:rPr>
    </w:lvl>
    <w:lvl w:ilvl="5" w:tplc="DB8282DC">
      <w:numFmt w:val="bullet"/>
      <w:lvlText w:val="•"/>
      <w:lvlJc w:val="left"/>
      <w:pPr>
        <w:ind w:left="5370" w:hanging="360"/>
      </w:pPr>
      <w:rPr>
        <w:rFonts w:hint="default"/>
        <w:lang w:val="en-US" w:eastAsia="en-US" w:bidi="ar-SA"/>
      </w:rPr>
    </w:lvl>
    <w:lvl w:ilvl="6" w:tplc="B63CAA4C">
      <w:numFmt w:val="bullet"/>
      <w:lvlText w:val="•"/>
      <w:lvlJc w:val="left"/>
      <w:pPr>
        <w:ind w:left="6256" w:hanging="360"/>
      </w:pPr>
      <w:rPr>
        <w:rFonts w:hint="default"/>
        <w:lang w:val="en-US" w:eastAsia="en-US" w:bidi="ar-SA"/>
      </w:rPr>
    </w:lvl>
    <w:lvl w:ilvl="7" w:tplc="904423A2">
      <w:numFmt w:val="bullet"/>
      <w:lvlText w:val="•"/>
      <w:lvlJc w:val="left"/>
      <w:pPr>
        <w:ind w:left="7142" w:hanging="360"/>
      </w:pPr>
      <w:rPr>
        <w:rFonts w:hint="default"/>
        <w:lang w:val="en-US" w:eastAsia="en-US" w:bidi="ar-SA"/>
      </w:rPr>
    </w:lvl>
    <w:lvl w:ilvl="8" w:tplc="3F04E270">
      <w:numFmt w:val="bullet"/>
      <w:lvlText w:val="•"/>
      <w:lvlJc w:val="left"/>
      <w:pPr>
        <w:ind w:left="8028" w:hanging="360"/>
      </w:pPr>
      <w:rPr>
        <w:rFonts w:hint="default"/>
        <w:lang w:val="en-US" w:eastAsia="en-US" w:bidi="ar-SA"/>
      </w:rPr>
    </w:lvl>
  </w:abstractNum>
  <w:abstractNum w:abstractNumId="2" w15:restartNumberingAfterBreak="0">
    <w:nsid w:val="642F38A9"/>
    <w:multiLevelType w:val="hybridMultilevel"/>
    <w:tmpl w:val="DD7221CC"/>
    <w:lvl w:ilvl="0" w:tplc="044404A4">
      <w:numFmt w:val="bullet"/>
      <w:lvlText w:val="•"/>
      <w:lvlJc w:val="left"/>
      <w:pPr>
        <w:ind w:left="581" w:hanging="361"/>
      </w:pPr>
      <w:rPr>
        <w:rFonts w:ascii="Arial" w:eastAsia="Arial" w:hAnsi="Arial" w:cs="Arial" w:hint="default"/>
        <w:b w:val="0"/>
        <w:bCs w:val="0"/>
        <w:i w:val="0"/>
        <w:iCs w:val="0"/>
        <w:spacing w:val="0"/>
        <w:w w:val="131"/>
        <w:sz w:val="20"/>
        <w:szCs w:val="20"/>
        <w:lang w:val="en-US" w:eastAsia="en-US" w:bidi="ar-SA"/>
      </w:rPr>
    </w:lvl>
    <w:lvl w:ilvl="1" w:tplc="83C215C6">
      <w:numFmt w:val="bullet"/>
      <w:lvlText w:val="o"/>
      <w:lvlJc w:val="left"/>
      <w:pPr>
        <w:ind w:left="1260" w:hanging="360"/>
      </w:pPr>
      <w:rPr>
        <w:rFonts w:ascii="Courier New" w:eastAsia="Courier New" w:hAnsi="Courier New" w:cs="Courier New" w:hint="default"/>
        <w:b w:val="0"/>
        <w:bCs w:val="0"/>
        <w:i w:val="0"/>
        <w:iCs w:val="0"/>
        <w:spacing w:val="0"/>
        <w:w w:val="100"/>
        <w:sz w:val="20"/>
        <w:szCs w:val="20"/>
        <w:lang w:val="en-US" w:eastAsia="en-US" w:bidi="ar-SA"/>
      </w:rPr>
    </w:lvl>
    <w:lvl w:ilvl="2" w:tplc="C0D2E656">
      <w:numFmt w:val="bullet"/>
      <w:lvlText w:val="•"/>
      <w:lvlJc w:val="left"/>
      <w:pPr>
        <w:ind w:left="2244" w:hanging="360"/>
      </w:pPr>
      <w:rPr>
        <w:rFonts w:hint="default"/>
        <w:lang w:val="en-US" w:eastAsia="en-US" w:bidi="ar-SA"/>
      </w:rPr>
    </w:lvl>
    <w:lvl w:ilvl="3" w:tplc="FEFE0DA4">
      <w:numFmt w:val="bullet"/>
      <w:lvlText w:val="•"/>
      <w:lvlJc w:val="left"/>
      <w:pPr>
        <w:ind w:left="3188" w:hanging="360"/>
      </w:pPr>
      <w:rPr>
        <w:rFonts w:hint="default"/>
        <w:lang w:val="en-US" w:eastAsia="en-US" w:bidi="ar-SA"/>
      </w:rPr>
    </w:lvl>
    <w:lvl w:ilvl="4" w:tplc="B3A8C5A4">
      <w:numFmt w:val="bullet"/>
      <w:lvlText w:val="•"/>
      <w:lvlJc w:val="left"/>
      <w:pPr>
        <w:ind w:left="4133" w:hanging="360"/>
      </w:pPr>
      <w:rPr>
        <w:rFonts w:hint="default"/>
        <w:lang w:val="en-US" w:eastAsia="en-US" w:bidi="ar-SA"/>
      </w:rPr>
    </w:lvl>
    <w:lvl w:ilvl="5" w:tplc="974231D4">
      <w:numFmt w:val="bullet"/>
      <w:lvlText w:val="•"/>
      <w:lvlJc w:val="left"/>
      <w:pPr>
        <w:ind w:left="5077" w:hanging="360"/>
      </w:pPr>
      <w:rPr>
        <w:rFonts w:hint="default"/>
        <w:lang w:val="en-US" w:eastAsia="en-US" w:bidi="ar-SA"/>
      </w:rPr>
    </w:lvl>
    <w:lvl w:ilvl="6" w:tplc="1EB2D826">
      <w:numFmt w:val="bullet"/>
      <w:lvlText w:val="•"/>
      <w:lvlJc w:val="left"/>
      <w:pPr>
        <w:ind w:left="6022" w:hanging="360"/>
      </w:pPr>
      <w:rPr>
        <w:rFonts w:hint="default"/>
        <w:lang w:val="en-US" w:eastAsia="en-US" w:bidi="ar-SA"/>
      </w:rPr>
    </w:lvl>
    <w:lvl w:ilvl="7" w:tplc="E8F6DB92">
      <w:numFmt w:val="bullet"/>
      <w:lvlText w:val="•"/>
      <w:lvlJc w:val="left"/>
      <w:pPr>
        <w:ind w:left="6966" w:hanging="360"/>
      </w:pPr>
      <w:rPr>
        <w:rFonts w:hint="default"/>
        <w:lang w:val="en-US" w:eastAsia="en-US" w:bidi="ar-SA"/>
      </w:rPr>
    </w:lvl>
    <w:lvl w:ilvl="8" w:tplc="0D5E239C">
      <w:numFmt w:val="bullet"/>
      <w:lvlText w:val="•"/>
      <w:lvlJc w:val="left"/>
      <w:pPr>
        <w:ind w:left="7911" w:hanging="360"/>
      </w:pPr>
      <w:rPr>
        <w:rFonts w:hint="default"/>
        <w:lang w:val="en-US" w:eastAsia="en-US" w:bidi="ar-SA"/>
      </w:rPr>
    </w:lvl>
  </w:abstractNum>
  <w:num w:numId="1" w16cid:durableId="443813166">
    <w:abstractNumId w:val="1"/>
  </w:num>
  <w:num w:numId="2" w16cid:durableId="406221420">
    <w:abstractNumId w:val="2"/>
  </w:num>
  <w:num w:numId="3" w16cid:durableId="17033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36"/>
    <w:rsid w:val="00037BDA"/>
    <w:rsid w:val="0024580F"/>
    <w:rsid w:val="0041744A"/>
    <w:rsid w:val="004247F1"/>
    <w:rsid w:val="00437026"/>
    <w:rsid w:val="004F7260"/>
    <w:rsid w:val="005F1CF2"/>
    <w:rsid w:val="0066440A"/>
    <w:rsid w:val="007836D3"/>
    <w:rsid w:val="00795AF4"/>
    <w:rsid w:val="00925E70"/>
    <w:rsid w:val="009541C4"/>
    <w:rsid w:val="00AE419C"/>
    <w:rsid w:val="00B10A97"/>
    <w:rsid w:val="00C36E93"/>
    <w:rsid w:val="00CC1B4D"/>
    <w:rsid w:val="00CD4BC0"/>
    <w:rsid w:val="00D41236"/>
    <w:rsid w:val="00D8558D"/>
    <w:rsid w:val="00E24709"/>
    <w:rsid w:val="00E462FD"/>
    <w:rsid w:val="00F65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CAF7"/>
  <w15:docId w15:val="{388A3996-5085-F546-B537-B848D10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paragraph" w:styleId="Heading2">
    <w:name w:val="heading 2"/>
    <w:basedOn w:val="Normal"/>
    <w:uiPriority w:val="9"/>
    <w:unhideWhenUsed/>
    <w:qFormat/>
    <w:pPr>
      <w:ind w:left="2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3"/>
      <w:ind w:left="220"/>
    </w:pPr>
    <w:rPr>
      <w:sz w:val="28"/>
      <w:szCs w:val="28"/>
    </w:rPr>
  </w:style>
  <w:style w:type="paragraph" w:styleId="ListParagraph">
    <w:name w:val="List Paragraph"/>
    <w:basedOn w:val="Normal"/>
    <w:uiPriority w:val="1"/>
    <w:qFormat/>
    <w:pPr>
      <w:spacing w:before="10"/>
      <w:ind w:left="580" w:hanging="360"/>
    </w:pPr>
  </w:style>
  <w:style w:type="paragraph" w:customStyle="1" w:styleId="TableParagraph">
    <w:name w:val="Table Paragraph"/>
    <w:basedOn w:val="Normal"/>
    <w:uiPriority w:val="1"/>
    <w:qFormat/>
  </w:style>
  <w:style w:type="paragraph" w:customStyle="1" w:styleId="Default">
    <w:name w:val="Default"/>
    <w:rsid w:val="00AE419C"/>
    <w:pPr>
      <w:widowControl/>
      <w:adjustRightInd w:val="0"/>
    </w:pPr>
    <w:rPr>
      <w:rFonts w:ascii="Calibri" w:hAnsi="Calibri" w:cs="Calibri"/>
      <w:color w:val="000000"/>
      <w:sz w:val="24"/>
      <w:szCs w:val="24"/>
    </w:rPr>
  </w:style>
  <w:style w:type="paragraph" w:styleId="Footer">
    <w:name w:val="footer"/>
    <w:basedOn w:val="Normal"/>
    <w:link w:val="FooterChar"/>
    <w:uiPriority w:val="99"/>
    <w:unhideWhenUsed/>
    <w:rsid w:val="00D8558D"/>
    <w:pPr>
      <w:tabs>
        <w:tab w:val="center" w:pos="4680"/>
        <w:tab w:val="right" w:pos="9360"/>
      </w:tabs>
    </w:pPr>
  </w:style>
  <w:style w:type="character" w:customStyle="1" w:styleId="FooterChar">
    <w:name w:val="Footer Char"/>
    <w:basedOn w:val="DefaultParagraphFont"/>
    <w:link w:val="Footer"/>
    <w:uiPriority w:val="99"/>
    <w:rsid w:val="00D8558D"/>
    <w:rPr>
      <w:rFonts w:ascii="Arial" w:eastAsia="Arial" w:hAnsi="Arial" w:cs="Arial"/>
    </w:rPr>
  </w:style>
  <w:style w:type="paragraph" w:styleId="Header">
    <w:name w:val="header"/>
    <w:basedOn w:val="Normal"/>
    <w:link w:val="HeaderChar"/>
    <w:uiPriority w:val="99"/>
    <w:unhideWhenUsed/>
    <w:rsid w:val="00925E70"/>
    <w:pPr>
      <w:tabs>
        <w:tab w:val="center" w:pos="4680"/>
        <w:tab w:val="right" w:pos="9360"/>
      </w:tabs>
    </w:pPr>
  </w:style>
  <w:style w:type="character" w:customStyle="1" w:styleId="HeaderChar">
    <w:name w:val="Header Char"/>
    <w:basedOn w:val="DefaultParagraphFont"/>
    <w:link w:val="Header"/>
    <w:uiPriority w:val="99"/>
    <w:rsid w:val="00925E7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i.apellis.com/files/PI_SYFOVR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Richard (Entree Health)</cp:lastModifiedBy>
  <cp:revision>2</cp:revision>
  <cp:lastPrinted>2025-02-05T14:37:00Z</cp:lastPrinted>
  <dcterms:created xsi:type="dcterms:W3CDTF">2025-02-24T20:55:00Z</dcterms:created>
  <dcterms:modified xsi:type="dcterms:W3CDTF">2025-02-24T20:55:00Z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LastSaved">
    <vt:filetime>2024-01-03T00:00:00Z</vt:filetime>
  </property>
  <property fmtid="{D5CDD505-2E9C-101B-9397-08002B2CF9AE}" pid="4" name="Producer">
    <vt:lpwstr>PDFTron PDFNet, V9.50306
</vt:lpwstr>
  </property>
  <property fmtid="{D5CDD505-2E9C-101B-9397-08002B2CF9AE}" pid="5" name="ClassificationContentMarkingFooterShapeIds">
    <vt:lpwstr>151b7453,6422eb15,533173df</vt:lpwstr>
  </property>
  <property fmtid="{D5CDD505-2E9C-101B-9397-08002B2CF9AE}" pid="6" name="ClassificationContentMarkingFooterFontProps">
    <vt:lpwstr>#000000,10,Calibri</vt:lpwstr>
  </property>
  <property fmtid="{D5CDD505-2E9C-101B-9397-08002B2CF9AE}" pid="7" name="ClassificationContentMarkingFooterText">
    <vt:lpwstr>Confidential - Not for Public Consumption or Distribution</vt:lpwstr>
  </property>
  <property fmtid="{D5CDD505-2E9C-101B-9397-08002B2CF9AE}" pid="8" name="MSIP_Label_8e19d756-792e-42a1-bcad-4cb9051ddd2d_Enabled">
    <vt:lpwstr>true</vt:lpwstr>
  </property>
  <property fmtid="{D5CDD505-2E9C-101B-9397-08002B2CF9AE}" pid="9" name="MSIP_Label_8e19d756-792e-42a1-bcad-4cb9051ddd2d_SetDate">
    <vt:lpwstr>2025-02-05T14:35:10Z</vt:lpwstr>
  </property>
  <property fmtid="{D5CDD505-2E9C-101B-9397-08002B2CF9AE}" pid="10" name="MSIP_Label_8e19d756-792e-42a1-bcad-4cb9051ddd2d_Method">
    <vt:lpwstr>Standard</vt:lpwstr>
  </property>
  <property fmtid="{D5CDD505-2E9C-101B-9397-08002B2CF9AE}" pid="11" name="MSIP_Label_8e19d756-792e-42a1-bcad-4cb9051ddd2d_Name">
    <vt:lpwstr>Confidential</vt:lpwstr>
  </property>
  <property fmtid="{D5CDD505-2E9C-101B-9397-08002B2CF9AE}" pid="12" name="MSIP_Label_8e19d756-792e-42a1-bcad-4cb9051ddd2d_SiteId">
    <vt:lpwstr>41eb501a-f671-4ce0-a5bf-b64168c3705f</vt:lpwstr>
  </property>
  <property fmtid="{D5CDD505-2E9C-101B-9397-08002B2CF9AE}" pid="13" name="MSIP_Label_8e19d756-792e-42a1-bcad-4cb9051ddd2d_ActionId">
    <vt:lpwstr>231493dc-bd87-412e-ab04-8b00b4676ee0</vt:lpwstr>
  </property>
  <property fmtid="{D5CDD505-2E9C-101B-9397-08002B2CF9AE}" pid="14" name="MSIP_Label_8e19d756-792e-42a1-bcad-4cb9051ddd2d_ContentBits">
    <vt:lpwstr>2</vt:lpwstr>
  </property>
  <property fmtid="{D5CDD505-2E9C-101B-9397-08002B2CF9AE}" pid="15" name="MSIP_Label_8e19d756-792e-42a1-bcad-4cb9051ddd2d_Tag">
    <vt:lpwstr>50, 3, 0, 1</vt:lpwstr>
  </property>
</Properties>
</file>